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7"/>
        <w:spacing w:line="240" w:lineRule="auto"/>
        <w:jc w:val="center"/>
        <w:rPr>
          <w:rFonts w:hint="default" w:asciiTheme="majorEastAsia" w:hAnsiTheme="majorEastAsia" w:eastAsiaTheme="majorEastAsia"/>
          <w:color w:val="auto"/>
          <w:spacing w:val="0"/>
          <w:highlight w:val="none"/>
        </w:rPr>
      </w:pPr>
      <w:r>
        <w:rPr>
          <w:rFonts w:hint="eastAsia" w:asciiTheme="majorEastAsia" w:hAnsiTheme="majorEastAsia" w:eastAsiaTheme="majorEastAsia"/>
          <w:b w:val="1"/>
          <w:color w:val="auto"/>
          <w:spacing w:val="0"/>
          <w:sz w:val="32"/>
          <w:highlight w:val="none"/>
        </w:rPr>
        <w:t>セーフティネット保証５号認定の申請について（ロ－１）</w:t>
      </w:r>
    </w:p>
    <w:p>
      <w:pPr>
        <w:pStyle w:val="37"/>
        <w:spacing w:line="320" w:lineRule="exact"/>
        <w:ind w:firstLine="220" w:firstLineChars="100"/>
        <w:rPr>
          <w:rFonts w:hint="default" w:asciiTheme="majorEastAsia" w:hAnsiTheme="majorEastAsia" w:eastAsiaTheme="majorEastAsia"/>
          <w:color w:val="auto"/>
          <w:spacing w:val="0"/>
          <w:highlight w:val="none"/>
        </w:rPr>
      </w:pPr>
    </w:p>
    <w:p>
      <w:pPr>
        <w:pStyle w:val="37"/>
        <w:spacing w:line="320" w:lineRule="exact"/>
        <w:ind w:left="0" w:leftChars="0" w:firstLine="222" w:firstLineChars="100"/>
        <w:rPr>
          <w:rFonts w:hint="default" w:asciiTheme="majorEastAsia" w:hAnsiTheme="majorEastAsia" w:eastAsiaTheme="majorEastAsia"/>
          <w:color w:val="auto"/>
          <w:spacing w:val="0"/>
          <w:highlight w:val="none"/>
        </w:rPr>
      </w:pPr>
      <w:r>
        <w:rPr>
          <w:rFonts w:hint="eastAsia" w:asciiTheme="majorEastAsia" w:hAnsiTheme="majorEastAsia" w:eastAsiaTheme="majorEastAsia"/>
          <w:b w:val="1"/>
          <w:color w:val="auto"/>
          <w:spacing w:val="0"/>
          <w:highlight w:val="none"/>
        </w:rPr>
        <w:t>【本案内の概要】</w:t>
      </w:r>
    </w:p>
    <w:p>
      <w:pPr>
        <w:pStyle w:val="37"/>
        <w:spacing w:line="320" w:lineRule="exact"/>
        <w:ind w:left="656" w:leftChars="100" w:hanging="444"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spacing w:val="0"/>
          <w:highlight w:val="none"/>
        </w:rPr>
        <w:t>・　本案内は、</w:t>
      </w:r>
      <w:r>
        <w:rPr>
          <w:rFonts w:hint="eastAsia" w:asciiTheme="majorEastAsia" w:hAnsiTheme="majorEastAsia" w:eastAsiaTheme="majorEastAsia"/>
          <w:b w:val="1"/>
          <w:color w:val="auto"/>
          <w:spacing w:val="0"/>
          <w:highlight w:val="none"/>
        </w:rPr>
        <w:t>セーフティネット保証５号</w:t>
      </w:r>
      <w:r>
        <w:rPr>
          <w:rFonts w:hint="eastAsia" w:asciiTheme="majorEastAsia" w:hAnsiTheme="majorEastAsia" w:eastAsiaTheme="majorEastAsia"/>
          <w:color w:val="auto"/>
          <w:spacing w:val="0"/>
          <w:highlight w:val="none"/>
        </w:rPr>
        <w:t>（</w:t>
      </w:r>
      <w:r>
        <w:rPr>
          <w:rFonts w:hint="eastAsia" w:ascii="ＭＳ ゴシック" w:hAnsi="ＭＳ ゴシック" w:eastAsia="ＭＳ ゴシック"/>
          <w:color w:val="auto"/>
          <w:kern w:val="0"/>
          <w:highlight w:val="none"/>
        </w:rPr>
        <w:t>中小企業信用保険法第２条第５項第５号</w:t>
      </w:r>
      <w:r>
        <w:rPr>
          <w:rFonts w:hint="eastAsia" w:asciiTheme="majorEastAsia" w:hAnsiTheme="majorEastAsia" w:eastAsiaTheme="majorEastAsia"/>
          <w:color w:val="auto"/>
          <w:spacing w:val="0"/>
          <w:highlight w:val="none"/>
        </w:rPr>
        <w:t>）認定の申請に係るものとなります。</w:t>
      </w:r>
    </w:p>
    <w:p>
      <w:pPr>
        <w:pStyle w:val="37"/>
        <w:spacing w:line="320" w:lineRule="exact"/>
        <w:ind w:left="656" w:leftChars="100" w:hanging="444"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spacing w:val="0"/>
        </w:rPr>
        <w:t>・　１つの指定業種に属する事業のみを営んでいる場合、又は営んでいる複数の事業が全て指定業種に属する場合に使用するものです。</w:t>
      </w:r>
    </w:p>
    <w:p>
      <w:pPr>
        <w:pStyle w:val="37"/>
        <w:spacing w:line="320" w:lineRule="exact"/>
        <w:ind w:leftChars="0" w:firstLineChars="0"/>
        <w:rPr>
          <w:rFonts w:hint="default" w:asciiTheme="majorEastAsia" w:hAnsiTheme="majorEastAsia" w:eastAsiaTheme="majorEastAsia"/>
          <w:color w:val="auto"/>
          <w:spacing w:val="0"/>
          <w:highlight w:val="none"/>
        </w:rPr>
      </w:pPr>
    </w:p>
    <w:p>
      <w:pPr>
        <w:pStyle w:val="37"/>
        <w:spacing w:line="320" w:lineRule="exact"/>
        <w:ind w:firstLine="222" w:firstLineChars="100"/>
        <w:rPr>
          <w:rFonts w:hint="default" w:asciiTheme="majorEastAsia" w:hAnsiTheme="majorEastAsia" w:eastAsiaTheme="majorEastAsia"/>
          <w:b w:val="1"/>
          <w:color w:val="auto"/>
          <w:spacing w:val="0"/>
          <w:highlight w:val="none"/>
          <w:u w:val="none" w:color="auto"/>
        </w:rPr>
      </w:pPr>
      <w:bookmarkStart w:id="0" w:name="_GoBack"/>
      <w:bookmarkEnd w:id="0"/>
      <w:r>
        <w:rPr>
          <w:rFonts w:hint="eastAsia" w:asciiTheme="majorEastAsia" w:hAnsiTheme="majorEastAsia" w:eastAsiaTheme="majorEastAsia"/>
          <w:b w:val="1"/>
          <w:color w:val="auto"/>
          <w:spacing w:val="0"/>
          <w:highlight w:val="none"/>
        </w:rPr>
        <w:t>【認定の要件】</w:t>
      </w:r>
    </w:p>
    <w:p>
      <w:pPr>
        <w:pStyle w:val="37"/>
        <w:spacing w:line="320" w:lineRule="exact"/>
        <w:ind w:left="656" w:leftChars="100" w:hanging="444"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color w:val="auto"/>
          <w:spacing w:val="0"/>
          <w:highlight w:val="none"/>
          <w:u w:val="single" w:color="auto"/>
        </w:rPr>
        <w:t>指定業種の売上高等が認定基準を満たしていること。</w:t>
      </w:r>
    </w:p>
    <w:p>
      <w:pPr>
        <w:pStyle w:val="37"/>
        <w:spacing w:line="320" w:lineRule="exact"/>
        <w:ind w:left="656" w:leftChars="100" w:hanging="444"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spacing w:val="0"/>
          <w:highlight w:val="none"/>
        </w:rPr>
        <w:t>・　申請者が、酒々井町内に本店（個人事業者の方は主たる事業所）所在地があり、１年以上継続して事業を行っている中小企業者。</w:t>
      </w:r>
    </w:p>
    <w:p>
      <w:pPr>
        <w:pStyle w:val="37"/>
        <w:spacing w:line="320" w:lineRule="exact"/>
        <w:ind w:left="656" w:leftChars="100" w:hanging="444"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b w:val="1"/>
          <w:color w:val="auto"/>
          <w:spacing w:val="0"/>
        </w:rPr>
        <w:t>原油価格の上昇</w:t>
      </w:r>
      <w:r>
        <w:rPr>
          <w:rFonts w:hint="eastAsia" w:asciiTheme="majorEastAsia" w:hAnsiTheme="majorEastAsia" w:eastAsiaTheme="majorEastAsia"/>
          <w:color w:val="auto"/>
          <w:spacing w:val="0"/>
        </w:rPr>
        <w:t>により、</w:t>
      </w:r>
      <w:r>
        <w:rPr>
          <w:rFonts w:hint="eastAsia" w:asciiTheme="majorEastAsia" w:hAnsiTheme="majorEastAsia" w:eastAsiaTheme="majorEastAsia"/>
          <w:color w:val="auto"/>
          <w:spacing w:val="0"/>
          <w:u w:val="single" w:color="auto"/>
        </w:rPr>
        <w:t>最近１か月の製品等に係る売上原価のうち</w:t>
      </w:r>
      <w:r>
        <w:rPr>
          <w:rFonts w:hint="eastAsia" w:asciiTheme="majorEastAsia" w:hAnsiTheme="majorEastAsia" w:eastAsiaTheme="majorEastAsia"/>
          <w:b w:val="1"/>
          <w:color w:val="auto"/>
          <w:spacing w:val="0"/>
          <w:u w:val="single" w:color="auto"/>
        </w:rPr>
        <w:t>２０％以上</w:t>
      </w:r>
      <w:r>
        <w:rPr>
          <w:rFonts w:hint="eastAsia" w:asciiTheme="majorEastAsia" w:hAnsiTheme="majorEastAsia" w:eastAsiaTheme="majorEastAsia"/>
          <w:color w:val="auto"/>
          <w:spacing w:val="0"/>
          <w:u w:val="single" w:color="auto"/>
        </w:rPr>
        <w:t>を占める原油又は石油製品の仕入価格</w:t>
      </w:r>
      <w:r>
        <w:rPr>
          <w:rFonts w:hint="eastAsia" w:asciiTheme="majorEastAsia" w:hAnsiTheme="majorEastAsia" w:eastAsiaTheme="majorEastAsia"/>
          <w:color w:val="auto"/>
          <w:spacing w:val="0"/>
        </w:rPr>
        <w:t>が</w:t>
      </w:r>
      <w:r>
        <w:rPr>
          <w:rFonts w:hint="eastAsia" w:asciiTheme="majorEastAsia" w:hAnsiTheme="majorEastAsia" w:eastAsiaTheme="majorEastAsia"/>
          <w:b w:val="1"/>
          <w:color w:val="auto"/>
          <w:spacing w:val="0"/>
        </w:rPr>
        <w:t>２０％以上</w:t>
      </w:r>
      <w:r>
        <w:rPr>
          <w:rFonts w:hint="eastAsia" w:asciiTheme="majorEastAsia" w:hAnsiTheme="majorEastAsia" w:eastAsiaTheme="majorEastAsia"/>
          <w:color w:val="auto"/>
          <w:spacing w:val="0"/>
        </w:rPr>
        <w:t>上昇しているにもかかわらず、価格の引上げが著しく困難であるため、</w:t>
      </w:r>
      <w:r>
        <w:rPr>
          <w:rFonts w:hint="eastAsia" w:asciiTheme="majorEastAsia" w:hAnsiTheme="majorEastAsia" w:eastAsiaTheme="majorEastAsia"/>
          <w:strike w:val="0"/>
          <w:dstrike w:val="0"/>
          <w:color w:val="auto"/>
          <w:spacing w:val="0"/>
          <w:u w:val="single" w:color="auto"/>
        </w:rPr>
        <w:t>最近３か月間の売上高に占める原油等の仕入価格の割合</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前年同期の売上高に占める原油等の仕入れ価格</w:t>
      </w:r>
      <w:r>
        <w:rPr>
          <w:rFonts w:hint="eastAsia" w:asciiTheme="majorEastAsia" w:hAnsiTheme="majorEastAsia" w:eastAsiaTheme="majorEastAsia"/>
          <w:color w:val="auto"/>
          <w:spacing w:val="0"/>
          <w:u w:val="none" w:color="auto"/>
        </w:rPr>
        <w:t>の</w:t>
      </w:r>
      <w:r>
        <w:rPr>
          <w:rFonts w:hint="eastAsia" w:asciiTheme="majorEastAsia" w:hAnsiTheme="majorEastAsia" w:eastAsiaTheme="majorEastAsia"/>
          <w:b w:val="1"/>
          <w:color w:val="auto"/>
          <w:spacing w:val="0"/>
          <w:u w:val="none" w:color="auto"/>
        </w:rPr>
        <w:t>割合</w:t>
      </w:r>
      <w:r>
        <w:rPr>
          <w:rFonts w:hint="eastAsia" w:asciiTheme="majorEastAsia" w:hAnsiTheme="majorEastAsia" w:eastAsiaTheme="majorEastAsia"/>
          <w:b w:val="1"/>
          <w:color w:val="auto"/>
          <w:spacing w:val="0"/>
        </w:rPr>
        <w:t>を上回っている</w:t>
      </w:r>
      <w:r>
        <w:rPr>
          <w:rFonts w:hint="eastAsia" w:asciiTheme="majorEastAsia" w:hAnsiTheme="majorEastAsia" w:eastAsiaTheme="majorEastAsia"/>
          <w:color w:val="auto"/>
          <w:spacing w:val="0"/>
        </w:rPr>
        <w:t>こと。</w:t>
      </w:r>
    </w:p>
    <w:p>
      <w:pPr>
        <w:pStyle w:val="37"/>
        <w:spacing w:line="320" w:lineRule="exact"/>
        <w:ind w:left="460" w:leftChars="100" w:hanging="248" w:hangingChars="100"/>
        <w:rPr>
          <w:rFonts w:hint="default" w:asciiTheme="majorEastAsia" w:hAnsiTheme="majorEastAsia" w:eastAsiaTheme="majorEastAsia"/>
          <w:color w:val="auto"/>
          <w:highlight w:val="none"/>
        </w:rPr>
      </w:pPr>
    </w:p>
    <w:p>
      <w:pPr>
        <w:pStyle w:val="37"/>
        <w:spacing w:line="320" w:lineRule="exact"/>
        <w:ind w:firstLine="222" w:firstLineChars="100"/>
        <w:rPr>
          <w:rFonts w:hint="default" w:asciiTheme="majorEastAsia" w:hAnsiTheme="majorEastAsia" w:eastAsiaTheme="majorEastAsia"/>
          <w:b w:val="1"/>
          <w:color w:val="auto"/>
          <w:spacing w:val="0"/>
          <w:sz w:val="22"/>
          <w:highlight w:val="none"/>
        </w:rPr>
      </w:pPr>
      <w:r>
        <w:rPr>
          <w:rFonts w:hint="eastAsia" w:asciiTheme="majorEastAsia" w:hAnsiTheme="majorEastAsia" w:eastAsiaTheme="majorEastAsia"/>
          <w:b w:val="1"/>
          <w:color w:val="auto"/>
          <w:spacing w:val="0"/>
          <w:sz w:val="22"/>
          <w:highlight w:val="none"/>
        </w:rPr>
        <w:t>【売上高の確認・必要書類】</w:t>
      </w:r>
    </w:p>
    <w:p>
      <w:pPr>
        <w:pStyle w:val="37"/>
        <w:spacing w:line="320" w:lineRule="exact"/>
        <w:ind w:left="656" w:leftChars="100" w:hanging="444" w:hangingChars="200"/>
        <w:rPr>
          <w:rFonts w:hint="default" w:asciiTheme="majorEastAsia" w:hAnsiTheme="majorEastAsia" w:eastAsiaTheme="majorEastAsia"/>
          <w:color w:val="auto"/>
          <w:spacing w:val="0"/>
          <w:sz w:val="22"/>
          <w:highlight w:val="none"/>
        </w:rPr>
      </w:pPr>
      <w:r>
        <w:rPr>
          <w:rFonts w:hint="eastAsia" w:asciiTheme="majorEastAsia" w:hAnsiTheme="majorEastAsia" w:eastAsiaTheme="majorEastAsia"/>
          <w:color w:val="auto"/>
          <w:spacing w:val="0"/>
          <w:sz w:val="22"/>
          <w:highlight w:val="none"/>
        </w:rPr>
        <w:t>・　売上高確認のため、申請書・添付書類とともに下記必要書類をご提出ください。</w:t>
      </w:r>
    </w:p>
    <w:p>
      <w:pPr>
        <w:pStyle w:val="37"/>
        <w:spacing w:line="320" w:lineRule="exact"/>
        <w:ind w:leftChars="0" w:firstLine="0" w:firstLineChars="0"/>
        <w:rPr>
          <w:rFonts w:hint="default" w:asciiTheme="majorEastAsia" w:hAnsiTheme="majorEastAsia" w:eastAsiaTheme="majorEastAsia"/>
          <w:color w:val="auto"/>
          <w:spacing w:val="6"/>
          <w:sz w:val="22"/>
          <w:highlight w:val="none"/>
        </w:rPr>
      </w:pPr>
    </w:p>
    <w:p>
      <w:pPr>
        <w:pStyle w:val="37"/>
        <w:spacing w:line="320" w:lineRule="exact"/>
        <w:ind w:firstLine="442" w:firstLineChars="200"/>
        <w:rPr>
          <w:rFonts w:hint="default" w:asciiTheme="majorEastAsia" w:hAnsiTheme="majorEastAsia" w:eastAsiaTheme="majorEastAsia"/>
          <w:color w:val="auto"/>
          <w:spacing w:val="6"/>
          <w:sz w:val="22"/>
          <w:highlight w:val="none"/>
        </w:rPr>
      </w:pPr>
      <w:r>
        <w:rPr>
          <w:rFonts w:hint="eastAsia" w:asciiTheme="majorEastAsia" w:hAnsiTheme="majorEastAsia" w:eastAsiaTheme="majorEastAsia"/>
          <w:b w:val="1"/>
          <w:color w:val="auto"/>
          <w:spacing w:val="0"/>
          <w:sz w:val="22"/>
          <w:highlight w:val="none"/>
        </w:rPr>
        <w:t>必要書類</w:t>
      </w:r>
      <w:r>
        <w:rPr>
          <w:rFonts w:hint="eastAsia" w:asciiTheme="majorEastAsia" w:hAnsiTheme="majorEastAsia" w:eastAsiaTheme="majorEastAsia"/>
          <w:color w:val="auto"/>
          <w:spacing w:val="6"/>
          <w:sz w:val="22"/>
          <w:highlight w:val="none"/>
        </w:rPr>
        <w:t>：</w:t>
      </w:r>
      <w:r>
        <w:rPr>
          <w:rFonts w:hint="eastAsia" w:asciiTheme="majorEastAsia" w:hAnsiTheme="majorEastAsia" w:eastAsiaTheme="majorEastAsia"/>
          <w:b w:val="1"/>
          <w:color w:val="auto"/>
          <w:spacing w:val="6"/>
          <w:sz w:val="22"/>
          <w:highlight w:val="none"/>
        </w:rPr>
        <w:t>〇必須書類、△該当者のみ必要な書類、各１通</w:t>
      </w:r>
    </w:p>
    <w:tbl>
      <w:tblPr>
        <w:tblStyle w:val="68"/>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NO.</w:t>
            </w:r>
          </w:p>
        </w:tc>
        <w:tc>
          <w:tcPr>
            <w:tcW w:w="760" w:type="dxa"/>
            <w:vAlign w:val="top"/>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法人</w:t>
            </w:r>
          </w:p>
        </w:tc>
        <w:tc>
          <w:tcPr>
            <w:tcW w:w="686" w:type="dxa"/>
            <w:vAlign w:val="top"/>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個人</w:t>
            </w:r>
          </w:p>
        </w:tc>
        <w:tc>
          <w:tcPr>
            <w:tcW w:w="6983" w:type="dxa"/>
            <w:vAlign w:val="top"/>
          </w:tcPr>
          <w:p>
            <w:pPr>
              <w:pStyle w:val="37"/>
              <w:spacing w:line="320" w:lineRule="exact"/>
              <w:jc w:val="center"/>
              <w:rPr>
                <w:rFonts w:hint="eastAsia"/>
                <w:color w:val="auto"/>
                <w:sz w:val="22"/>
                <w:highlight w:val="none"/>
              </w:rPr>
            </w:pPr>
          </w:p>
        </w:tc>
      </w:tr>
      <w:tr>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１</w:t>
            </w:r>
          </w:p>
        </w:tc>
        <w:tc>
          <w:tcPr>
            <w:tcW w:w="760"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86"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983" w:type="dxa"/>
            <w:vAlign w:val="top"/>
          </w:tcPr>
          <w:p>
            <w:pPr>
              <w:pStyle w:val="37"/>
              <w:spacing w:line="320" w:lineRule="exact"/>
              <w:rPr>
                <w:rFonts w:hint="eastAsia"/>
                <w:color w:val="auto"/>
                <w:sz w:val="22"/>
                <w:highlight w:val="none"/>
              </w:rPr>
            </w:pPr>
            <w:r>
              <w:rPr>
                <w:rFonts w:hint="eastAsia" w:asciiTheme="majorEastAsia" w:hAnsiTheme="majorEastAsia" w:eastAsiaTheme="majorEastAsia"/>
                <w:color w:val="auto"/>
                <w:spacing w:val="6"/>
                <w:sz w:val="22"/>
                <w:highlight w:val="none"/>
              </w:rPr>
              <w:t>認定申請書</w:t>
            </w:r>
          </w:p>
        </w:tc>
      </w:tr>
      <w:tr>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２</w:t>
            </w:r>
          </w:p>
        </w:tc>
        <w:tc>
          <w:tcPr>
            <w:tcW w:w="760"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86"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983" w:type="dxa"/>
            <w:vAlign w:val="top"/>
          </w:tcPr>
          <w:p>
            <w:pPr>
              <w:pStyle w:val="37"/>
              <w:spacing w:line="320" w:lineRule="exact"/>
              <w:rPr>
                <w:rFonts w:hint="eastAsia"/>
                <w:color w:val="auto"/>
                <w:sz w:val="22"/>
                <w:highlight w:val="none"/>
              </w:rPr>
            </w:pPr>
            <w:r>
              <w:rPr>
                <w:rFonts w:hint="eastAsia" w:asciiTheme="majorEastAsia" w:hAnsiTheme="majorEastAsia" w:eastAsiaTheme="majorEastAsia"/>
                <w:color w:val="auto"/>
                <w:spacing w:val="6"/>
                <w:sz w:val="22"/>
                <w:highlight w:val="none"/>
              </w:rPr>
              <w:t>認定申請書の確認シート</w:t>
            </w:r>
          </w:p>
        </w:tc>
      </w:tr>
      <w:tr>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３</w:t>
            </w:r>
          </w:p>
        </w:tc>
        <w:tc>
          <w:tcPr>
            <w:tcW w:w="760"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86" w:type="dxa"/>
            <w:vAlign w:val="center"/>
          </w:tcPr>
          <w:p>
            <w:pPr>
              <w:pStyle w:val="37"/>
              <w:spacing w:line="320" w:lineRule="exact"/>
              <w:jc w:val="center"/>
              <w:rPr>
                <w:rFonts w:hint="eastAsia"/>
                <w:color w:val="auto"/>
                <w:sz w:val="22"/>
                <w:highlight w:val="none"/>
              </w:rPr>
            </w:pPr>
          </w:p>
        </w:tc>
        <w:tc>
          <w:tcPr>
            <w:tcW w:w="6983" w:type="dxa"/>
            <w:vAlign w:val="top"/>
          </w:tcPr>
          <w:p>
            <w:pPr>
              <w:pStyle w:val="37"/>
              <w:spacing w:line="320" w:lineRule="exact"/>
              <w:rPr>
                <w:rFonts w:hint="eastAsia"/>
                <w:color w:val="auto"/>
                <w:sz w:val="22"/>
                <w:highlight w:val="none"/>
              </w:rPr>
            </w:pPr>
            <w:r>
              <w:rPr>
                <w:rFonts w:hint="eastAsia" w:asciiTheme="majorEastAsia" w:hAnsiTheme="majorEastAsia" w:eastAsiaTheme="majorEastAsia"/>
                <w:color w:val="auto"/>
                <w:spacing w:val="6"/>
                <w:sz w:val="22"/>
                <w:highlight w:val="none"/>
              </w:rPr>
              <w:t>商業登記簿謄本（「履歴事項全部証明書」等、申請日から３か月以内発行のもの、写し・インターネット謄本可）</w:t>
            </w:r>
          </w:p>
        </w:tc>
      </w:tr>
      <w:tr>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４</w:t>
            </w:r>
          </w:p>
        </w:tc>
        <w:tc>
          <w:tcPr>
            <w:tcW w:w="760" w:type="dxa"/>
            <w:vAlign w:val="center"/>
          </w:tcPr>
          <w:p>
            <w:pPr>
              <w:pStyle w:val="37"/>
              <w:spacing w:line="320" w:lineRule="exact"/>
              <w:jc w:val="center"/>
              <w:rPr>
                <w:rFonts w:hint="eastAsia"/>
                <w:color w:val="auto"/>
                <w:sz w:val="22"/>
                <w:highlight w:val="none"/>
              </w:rPr>
            </w:pPr>
          </w:p>
        </w:tc>
        <w:tc>
          <w:tcPr>
            <w:tcW w:w="686"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w:t>
            </w:r>
          </w:p>
        </w:tc>
        <w:tc>
          <w:tcPr>
            <w:tcW w:w="6983" w:type="dxa"/>
            <w:vAlign w:val="top"/>
          </w:tcPr>
          <w:p>
            <w:pPr>
              <w:pStyle w:val="37"/>
              <w:spacing w:line="320" w:lineRule="exact"/>
              <w:rPr>
                <w:rFonts w:hint="eastAsia"/>
                <w:color w:val="auto"/>
                <w:sz w:val="22"/>
                <w:highlight w:val="none"/>
              </w:rPr>
            </w:pPr>
            <w:r>
              <w:rPr>
                <w:rFonts w:hint="eastAsia" w:asciiTheme="majorEastAsia" w:hAnsiTheme="majorEastAsia" w:eastAsiaTheme="majorEastAsia"/>
                <w:color w:val="auto"/>
                <w:spacing w:val="6"/>
                <w:sz w:val="22"/>
                <w:highlight w:val="none"/>
              </w:rPr>
              <w:t>確定申告書の写し（最新のもの１期分）</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５</w:t>
            </w:r>
          </w:p>
        </w:tc>
        <w:tc>
          <w:tcPr>
            <w:tcW w:w="760"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37"/>
              <w:spacing w:line="320" w:lineRule="exact"/>
              <w:rPr>
                <w:rFonts w:hint="eastAsia"/>
                <w:color w:val="auto"/>
                <w:highlight w:val="none"/>
              </w:rPr>
            </w:pPr>
            <w:r>
              <w:rPr>
                <w:rFonts w:hint="eastAsia" w:asciiTheme="majorEastAsia" w:hAnsiTheme="majorEastAsia" w:eastAsiaTheme="majorEastAsia"/>
                <w:color w:val="auto"/>
                <w:spacing w:val="6"/>
                <w:highlight w:val="none"/>
              </w:rPr>
              <w:t>最近３か月間の売上高等が確認できる書類（月次試算表、</w:t>
            </w:r>
            <w:r>
              <w:rPr>
                <w:rFonts w:hint="eastAsia" w:asciiTheme="majorEastAsia" w:hAnsiTheme="majorEastAsia" w:eastAsiaTheme="majorEastAsia"/>
                <w:color w:val="auto"/>
                <w:spacing w:val="6"/>
              </w:rPr>
              <w:t>売上台帳、仕入帳</w:t>
            </w:r>
            <w:r>
              <w:rPr>
                <w:rFonts w:hint="eastAsia" w:asciiTheme="majorEastAsia" w:hAnsiTheme="majorEastAsia" w:eastAsiaTheme="majorEastAsia"/>
                <w:color w:val="auto"/>
                <w:spacing w:val="6"/>
                <w:highlight w:val="none"/>
              </w:rPr>
              <w:t>など）</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６</w:t>
            </w:r>
          </w:p>
        </w:tc>
        <w:tc>
          <w:tcPr>
            <w:tcW w:w="760"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37"/>
              <w:spacing w:line="320" w:lineRule="exact"/>
              <w:rPr>
                <w:rFonts w:hint="eastAsia"/>
                <w:color w:val="auto"/>
                <w:sz w:val="24"/>
                <w:highlight w:val="none"/>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５に対応する前年同期間の月別売上高等を確認できる書類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highlight w:val="none"/>
              </w:rPr>
              <w:t>（月次試算表、</w:t>
            </w:r>
            <w:r>
              <w:rPr>
                <w:rFonts w:hint="eastAsia" w:asciiTheme="majorEastAsia" w:hAnsiTheme="majorEastAsia" w:eastAsiaTheme="majorEastAsia"/>
                <w:color w:val="auto"/>
                <w:spacing w:val="6"/>
              </w:rPr>
              <w:t>売上台帳、仕入帳</w:t>
            </w:r>
            <w:r>
              <w:rPr>
                <w:rFonts w:hint="eastAsia" w:asciiTheme="majorEastAsia" w:hAnsiTheme="majorEastAsia" w:eastAsiaTheme="majorEastAsia"/>
                <w:color w:val="auto"/>
                <w:spacing w:val="6"/>
                <w:highlight w:val="none"/>
              </w:rPr>
              <w:t>など）</w:t>
            </w:r>
          </w:p>
        </w:tc>
      </w:tr>
      <w:tr>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７</w:t>
            </w:r>
          </w:p>
        </w:tc>
        <w:tc>
          <w:tcPr>
            <w:tcW w:w="760"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37"/>
              <w:spacing w:line="320" w:lineRule="exact"/>
              <w:rPr>
                <w:rFonts w:hint="eastAsia"/>
                <w:color w:val="auto"/>
                <w:highlight w:val="none"/>
              </w:rPr>
            </w:pPr>
            <w:r>
              <w:rPr>
                <w:rFonts w:hint="eastAsia" w:asciiTheme="majorEastAsia" w:hAnsiTheme="majorEastAsia" w:eastAsiaTheme="majorEastAsia"/>
                <w:color w:val="auto"/>
                <w:spacing w:val="6"/>
                <w:highlight w:val="none"/>
              </w:rPr>
              <w:t>委任状（金融機関等による代理申請の場合・任意書式）</w:t>
            </w:r>
          </w:p>
        </w:tc>
      </w:tr>
      <w:tr>
        <w:trPr>
          <w:trHeight w:val="477" w:hRule="atLeast"/>
        </w:trPr>
        <w:tc>
          <w:tcPr>
            <w:tcW w:w="611" w:type="dxa"/>
            <w:vAlign w:val="center"/>
          </w:tcPr>
          <w:p>
            <w:pPr>
              <w:pStyle w:val="37"/>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８</w:t>
            </w:r>
          </w:p>
        </w:tc>
        <w:tc>
          <w:tcPr>
            <w:tcW w:w="760"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37"/>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37"/>
              <w:spacing w:line="320" w:lineRule="exact"/>
              <w:rPr>
                <w:rFonts w:hint="eastAsia"/>
                <w:color w:val="auto"/>
                <w:highlight w:val="none"/>
              </w:rPr>
            </w:pPr>
            <w:r>
              <w:rPr>
                <w:rFonts w:hint="eastAsia" w:asciiTheme="majorEastAsia" w:hAnsiTheme="majorEastAsia" w:eastAsiaTheme="majorEastAsia"/>
                <w:color w:val="auto"/>
                <w:spacing w:val="6"/>
                <w:highlight w:val="none"/>
              </w:rPr>
              <w:t>事業実態が酒々井町にあることが確認できる書類</w:t>
            </w:r>
            <w:r>
              <w:rPr>
                <w:rFonts w:hint="eastAsia" w:asciiTheme="majorEastAsia" w:hAnsiTheme="majorEastAsia" w:eastAsiaTheme="majorEastAsia"/>
                <w:color w:val="auto"/>
                <w:spacing w:val="6"/>
                <w:highlight w:val="none"/>
              </w:rPr>
              <w:t>(</w:t>
            </w:r>
            <w:r>
              <w:rPr>
                <w:rFonts w:hint="eastAsia" w:asciiTheme="majorEastAsia" w:hAnsiTheme="majorEastAsia" w:eastAsiaTheme="majorEastAsia"/>
                <w:color w:val="auto"/>
                <w:spacing w:val="6"/>
                <w:highlight w:val="none"/>
              </w:rPr>
              <w:t>謄本等で町内にあることが確認できない場合</w:t>
            </w:r>
            <w:r>
              <w:rPr>
                <w:rFonts w:hint="eastAsia" w:asciiTheme="majorEastAsia" w:hAnsiTheme="majorEastAsia" w:eastAsiaTheme="majorEastAsia"/>
                <w:color w:val="auto"/>
                <w:spacing w:val="6"/>
                <w:highlight w:val="none"/>
              </w:rPr>
              <w:t xml:space="preserve">) </w:t>
            </w:r>
          </w:p>
        </w:tc>
      </w:tr>
    </w:tbl>
    <w:p>
      <w:pPr>
        <w:pStyle w:val="37"/>
        <w:spacing w:line="320" w:lineRule="exact"/>
        <w:rPr>
          <w:rFonts w:hint="default" w:asciiTheme="majorEastAsia" w:hAnsiTheme="majorEastAsia" w:eastAsiaTheme="majorEastAsia"/>
          <w:color w:val="auto"/>
          <w:spacing w:val="6"/>
          <w:sz w:val="22"/>
          <w:highlight w:val="none"/>
        </w:rPr>
      </w:pPr>
    </w:p>
    <w:p>
      <w:pPr>
        <w:pStyle w:val="37"/>
        <w:spacing w:line="320" w:lineRule="exact"/>
        <w:ind w:firstLine="221" w:firstLineChars="100"/>
        <w:rPr>
          <w:rFonts w:hint="default" w:asciiTheme="majorEastAsia" w:hAnsiTheme="majorEastAsia" w:eastAsiaTheme="majorEastAsia"/>
          <w:color w:val="auto"/>
          <w:spacing w:val="6"/>
          <w:sz w:val="22"/>
          <w:highlight w:val="none"/>
        </w:rPr>
      </w:pPr>
      <w:r>
        <w:rPr>
          <w:rFonts w:hint="eastAsia" w:asciiTheme="majorEastAsia" w:hAnsiTheme="majorEastAsia" w:eastAsiaTheme="majorEastAsia"/>
          <w:b w:val="1"/>
          <w:color w:val="auto"/>
          <w:spacing w:val="0"/>
          <w:sz w:val="22"/>
          <w:highlight w:val="none"/>
        </w:rPr>
        <w:t>【留意事項】</w:t>
      </w:r>
    </w:p>
    <w:p>
      <w:pPr>
        <w:pStyle w:val="37"/>
        <w:spacing w:line="320" w:lineRule="exact"/>
        <w:ind w:left="656" w:leftChars="100" w:hanging="444" w:hangingChars="200"/>
        <w:rPr>
          <w:rFonts w:hint="default" w:asciiTheme="majorEastAsia" w:hAnsiTheme="majorEastAsia" w:eastAsiaTheme="majorEastAsia"/>
          <w:color w:val="auto"/>
          <w:spacing w:val="0"/>
          <w:sz w:val="22"/>
          <w:highlight w:val="none"/>
        </w:rPr>
      </w:pPr>
      <w:r>
        <w:rPr>
          <w:rFonts w:hint="eastAsia" w:asciiTheme="majorEastAsia" w:hAnsiTheme="majorEastAsia" w:eastAsiaTheme="majorEastAsia"/>
          <w:color w:val="auto"/>
          <w:spacing w:val="0"/>
          <w:sz w:val="22"/>
          <w:highlight w:val="none"/>
        </w:rPr>
        <w:t>・　認定申請書には実印を押印してください。</w:t>
      </w:r>
    </w:p>
    <w:p>
      <w:pPr>
        <w:pStyle w:val="37"/>
        <w:spacing w:line="320" w:lineRule="exact"/>
        <w:ind w:left="656" w:leftChars="100" w:hanging="444" w:hangingChars="200"/>
        <w:rPr>
          <w:rFonts w:hint="default" w:asciiTheme="majorEastAsia" w:hAnsiTheme="majorEastAsia" w:eastAsiaTheme="majorEastAsia"/>
          <w:color w:val="auto"/>
          <w:spacing w:val="0"/>
          <w:sz w:val="22"/>
          <w:highlight w:val="none"/>
        </w:rPr>
      </w:pPr>
      <w:r>
        <w:rPr>
          <w:rFonts w:hint="eastAsia" w:asciiTheme="majorEastAsia" w:hAnsiTheme="majorEastAsia" w:eastAsiaTheme="majorEastAsia"/>
          <w:color w:val="auto"/>
          <w:spacing w:val="0"/>
          <w:sz w:val="22"/>
          <w:highlight w:val="none"/>
        </w:rPr>
        <w:t>・　認定書の有効期間は３０日間になります。有効期間を経過しますと再度申請をしていただくことになりますのでご注意ください（申請方法はお問い合わせください）。</w:t>
      </w:r>
    </w:p>
    <w:p>
      <w:pPr>
        <w:pStyle w:val="37"/>
        <w:spacing w:line="320" w:lineRule="exact"/>
        <w:ind w:left="656" w:leftChars="100" w:hanging="444" w:hangingChars="200"/>
        <w:rPr>
          <w:rFonts w:hint="default" w:asciiTheme="majorEastAsia" w:hAnsiTheme="majorEastAsia" w:eastAsiaTheme="majorEastAsia"/>
          <w:color w:val="auto"/>
          <w:spacing w:val="0"/>
          <w:sz w:val="22"/>
          <w:highlight w:val="none"/>
        </w:rPr>
      </w:pPr>
      <w:r>
        <w:rPr>
          <w:rFonts w:hint="eastAsia" w:asciiTheme="majorEastAsia" w:hAnsiTheme="majorEastAsia" w:eastAsiaTheme="majorEastAsia"/>
          <w:color w:val="auto"/>
          <w:spacing w:val="0"/>
          <w:sz w:val="22"/>
          <w:highlight w:val="none"/>
        </w:rPr>
        <w:t>・　認定を受けた後、認定書の有効期間内に金融機関又は信用保証協会に対して、経営安定保証関連の申し込みを行うことが必要です。</w:t>
      </w:r>
    </w:p>
    <w:p>
      <w:pPr>
        <w:pStyle w:val="37"/>
        <w:numPr>
          <w:numId w:val="0"/>
        </w:numPr>
        <w:spacing w:line="320" w:lineRule="exact"/>
        <w:ind w:left="652" w:leftChars="0" w:firstLine="0" w:firstLineChars="0"/>
        <w:rPr>
          <w:rFonts w:hint="default" w:asciiTheme="majorEastAsia" w:hAnsiTheme="majorEastAsia" w:eastAsiaTheme="majorEastAsia"/>
          <w:color w:val="auto"/>
          <w:spacing w:val="6"/>
          <w:sz w:val="22"/>
          <w:highlight w:val="none"/>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2"/>
          <w:highlight w:val="none"/>
        </w:rPr>
      </w:pPr>
      <w:r>
        <w:rPr>
          <w:rFonts w:hint="eastAsia" w:asciiTheme="majorEastAsia" w:hAnsiTheme="majorEastAsia" w:eastAsiaTheme="majorEastAsia"/>
          <w:color w:val="auto"/>
          <w:spacing w:val="6"/>
          <w:sz w:val="22"/>
          <w:highlight w:val="none"/>
        </w:rPr>
        <w:t>申請場所：酒々井町経済環境課商工振興班</w:t>
      </w:r>
    </w:p>
    <w:p>
      <w:pPr>
        <w:pStyle w:val="0"/>
        <w:suppressAutoHyphens w:val="1"/>
        <w:wordWrap w:val="0"/>
        <w:spacing w:line="320" w:lineRule="exact"/>
        <w:ind w:firstLine="702" w:firstLineChars="300"/>
        <w:jc w:val="left"/>
        <w:textAlignment w:val="baseline"/>
        <w:rPr>
          <w:rFonts w:hint="default" w:ascii="ＭＳ ゴシック" w:hAnsi="ＭＳ ゴシック" w:eastAsia="ＭＳ ゴシック"/>
          <w:color w:val="auto"/>
          <w:spacing w:val="16"/>
          <w:kern w:val="0"/>
          <w:highlight w:val="none"/>
        </w:rPr>
      </w:pPr>
      <w:r>
        <w:rPr>
          <w:rFonts w:hint="eastAsia" w:asciiTheme="majorEastAsia" w:hAnsiTheme="majorEastAsia" w:eastAsiaTheme="majorEastAsia"/>
          <w:color w:val="auto"/>
          <w:spacing w:val="6"/>
          <w:sz w:val="22"/>
          <w:highlight w:val="none"/>
        </w:rPr>
        <w:t>電話：０４３－４９６－１１７１（代表）　内線３４５・３４６</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eastAsia"/>
                <w:color w:val="auto"/>
                <w:highlight w:val="none"/>
              </w:rPr>
            </w:pPr>
            <w:r>
              <w:rPr>
                <w:rFonts w:hint="eastAsia" w:asciiTheme="majorEastAsia" w:hAnsiTheme="majorEastAsia" w:eastAsiaTheme="majorEastAsia"/>
                <w:color w:val="auto"/>
                <w:highlight w:val="none"/>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color w:val="auto"/>
                <w:highlight w:val="none"/>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color w:val="auto"/>
                <w:highlight w:val="none"/>
              </w:rPr>
            </w:pPr>
          </w:p>
        </w:tc>
        <w:tc>
          <w:tcPr>
            <w:tcW w:w="3345" w:type="dxa"/>
            <w:vAlign w:val="top"/>
          </w:tcPr>
          <w:p>
            <w:pPr>
              <w:pStyle w:val="0"/>
              <w:suppressAutoHyphens w:val="1"/>
              <w:kinsoku w:val="0"/>
              <w:wordWrap w:val="0"/>
              <w:autoSpaceDE w:val="0"/>
              <w:autoSpaceDN w:val="0"/>
              <w:spacing w:line="366" w:lineRule="atLeast"/>
              <w:jc w:val="left"/>
              <w:rPr>
                <w:rFonts w:hint="eastAsia"/>
                <w:color w:val="auto"/>
                <w:highlight w:val="none"/>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color w:val="auto"/>
                <w:highlight w:val="none"/>
              </w:rPr>
            </w:pPr>
          </w:p>
        </w:tc>
        <w:tc>
          <w:tcPr>
            <w:tcW w:w="3343" w:type="dxa"/>
            <w:vAlign w:val="top"/>
          </w:tcPr>
          <w:p>
            <w:pPr>
              <w:pStyle w:val="0"/>
              <w:suppressAutoHyphens w:val="1"/>
              <w:kinsoku w:val="0"/>
              <w:wordWrap w:val="0"/>
              <w:autoSpaceDE w:val="0"/>
              <w:autoSpaceDN w:val="0"/>
              <w:spacing w:line="366" w:lineRule="atLeast"/>
              <w:jc w:val="left"/>
              <w:rPr>
                <w:rFonts w:hint="eastAsia"/>
                <w:color w:val="auto"/>
                <w:highlight w:val="none"/>
              </w:rPr>
            </w:pPr>
          </w:p>
        </w:tc>
        <w:tc>
          <w:tcPr>
            <w:tcW w:w="3345" w:type="dxa"/>
            <w:vAlign w:val="top"/>
          </w:tcPr>
          <w:p>
            <w:pPr>
              <w:pStyle w:val="0"/>
              <w:suppressAutoHyphens w:val="1"/>
              <w:kinsoku w:val="0"/>
              <w:wordWrap w:val="0"/>
              <w:autoSpaceDE w:val="0"/>
              <w:autoSpaceDN w:val="0"/>
              <w:spacing w:line="366" w:lineRule="atLeast"/>
              <w:jc w:val="left"/>
              <w:rPr>
                <w:rFonts w:hint="eastAsia"/>
                <w:color w:val="auto"/>
                <w:highlight w:val="none"/>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様式第５－（ロ）－１</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auto"/>
                <w:spacing w:val="16"/>
                <w:kern w:val="0"/>
                <w:highlight w:val="none"/>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中小企業信用保険法第２条第５項第５号の規定による認定申請書（ロ－１）</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auto"/>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default" w:ascii="ＭＳ ゴシック" w:hAnsi="ＭＳ ゴシック" w:eastAsia="ＭＳ ゴシック"/>
                <w:color w:val="auto"/>
                <w:kern w:val="0"/>
                <w:highlight w:val="none"/>
              </w:rPr>
              <w:t xml:space="preserve"> </w:t>
            </w:r>
            <w:r>
              <w:rPr>
                <w:rFonts w:hint="eastAsia" w:asciiTheme="majorEastAsia" w:hAnsiTheme="majorEastAsia" w:eastAsiaTheme="majorEastAsia"/>
                <w:color w:val="auto"/>
                <w:kern w:val="0"/>
                <w:highlight w:val="none"/>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spacing w:val="16"/>
                <w:kern w:val="0"/>
                <w:highlight w:val="none"/>
              </w:rPr>
            </w:pPr>
            <w:r>
              <w:rPr>
                <w:rFonts w:hint="default"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spacing w:val="52"/>
                <w:kern w:val="0"/>
                <w:highlight w:val="none"/>
                <w:fitText w:val="1470" w:id="1"/>
              </w:rPr>
              <w:t>酒々井町</w:t>
            </w:r>
            <w:r>
              <w:rPr>
                <w:rFonts w:hint="eastAsia" w:asciiTheme="majorEastAsia" w:hAnsiTheme="majorEastAsia" w:eastAsiaTheme="majorEastAsia"/>
                <w:color w:val="auto"/>
                <w:spacing w:val="2"/>
                <w:kern w:val="0"/>
                <w:highlight w:val="none"/>
                <w:fitText w:val="1470" w:id="1"/>
              </w:rPr>
              <w:t>長</w:t>
            </w:r>
            <w:r>
              <w:rPr>
                <w:rFonts w:hint="eastAsia" w:asciiTheme="majorEastAsia" w:hAnsiTheme="majorEastAsia" w:eastAsiaTheme="majorEastAsia"/>
                <w:color w:val="auto"/>
                <w:kern w:val="0"/>
                <w:highlight w:val="none"/>
              </w:rPr>
              <w:t>　　様</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highlight w:val="none"/>
              </w:rPr>
            </w:pPr>
            <w:r>
              <w:rPr>
                <w:rFonts w:hint="default"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　</w:t>
            </w:r>
            <w:r>
              <w:rPr>
                <w:rFonts w:hint="default" w:asciiTheme="majorEastAsia" w:hAnsiTheme="majorEastAsia" w:eastAsiaTheme="majorEastAsia"/>
                <w:color w:val="auto"/>
                <w:kern w:val="0"/>
                <w:highlight w:val="none"/>
              </w:rPr>
              <w:t xml:space="preserve"> </w:t>
            </w:r>
            <w:r>
              <w:rPr>
                <w:rFonts w:hint="eastAsia" w:ascii="ＭＳ ゴシック" w:hAnsi="ＭＳ ゴシック" w:eastAsia="ＭＳ ゴシック"/>
                <w:color w:val="auto"/>
                <w:kern w:val="0"/>
                <w:highlight w:val="none"/>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eastAsia" w:ascii="ＭＳ ゴシック" w:hAnsi="ＭＳ ゴシック" w:eastAsia="ＭＳ ゴシック"/>
                <w:color w:val="auto"/>
                <w:kern w:val="0"/>
                <w:highlight w:val="none"/>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highlight w:val="none"/>
                <w:u w:val="single" w:color="auto"/>
              </w:rPr>
            </w:pPr>
            <w:r>
              <w:rPr>
                <w:rFonts w:hint="eastAsia" w:ascii="ＭＳ ゴシック" w:hAnsi="ＭＳ ゴシック" w:eastAsia="ＭＳ ゴシック"/>
                <w:color w:val="auto"/>
                <w:kern w:val="0"/>
                <w:highlight w:val="none"/>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highlight w:val="none"/>
              </w:rPr>
            </w:pPr>
            <w:r>
              <w:rPr>
                <w:rFonts w:hint="eastAsia" w:ascii="ＭＳ ゴシック" w:hAnsi="ＭＳ ゴシック" w:eastAsia="ＭＳ ゴシック"/>
                <w:color w:val="auto"/>
                <w:kern w:val="0"/>
                <w:highlight w:val="none"/>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highlight w:val="none"/>
              </w:rPr>
            </w:pPr>
            <w:r>
              <w:rPr>
                <w:rFonts w:hint="eastAsia" w:asciiTheme="majorEastAsia" w:hAnsiTheme="majorEastAsia" w:eastAsiaTheme="majorEastAsia"/>
                <w:color w:val="auto"/>
                <w:kern w:val="0"/>
                <w:highlight w:val="none"/>
              </w:rPr>
              <w:t>　私は、</w:t>
            </w:r>
            <w:r>
              <w:rPr>
                <w:rFonts w:hint="eastAsia" w:ascii="ＭＳ ゴシック" w:hAnsi="ＭＳ ゴシック" w:eastAsia="ＭＳ ゴシック"/>
                <w:color w:val="auto"/>
                <w:kern w:val="0"/>
                <w:highlight w:val="none"/>
              </w:rPr>
              <w:t>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33"/>
              <w:spacing w:line="240" w:lineRule="exact"/>
              <w:jc w:val="left"/>
              <w:rPr>
                <w:rFonts w:hint="default"/>
                <w:color w:val="auto"/>
                <w:highlight w:val="none"/>
              </w:rPr>
            </w:pPr>
            <w:r>
              <w:rPr>
                <w:rFonts w:hint="eastAsia"/>
                <w:color w:val="auto"/>
                <w:highlight w:val="none"/>
              </w:rPr>
              <w:t>（表</w:t>
            </w:r>
            <w:r>
              <w:rPr>
                <w:rFonts w:hint="eastAsia"/>
                <w:color w:val="auto"/>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highlight w:val="none"/>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highlight w:val="none"/>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highlight w:val="none"/>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highlight w:val="none"/>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highlight w:val="none"/>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highlight w:val="none"/>
                    </w:rPr>
                  </w:pPr>
                </w:p>
              </w:tc>
            </w:tr>
          </w:tbl>
          <w:p>
            <w:pPr>
              <w:pStyle w:val="37"/>
              <w:spacing w:line="240" w:lineRule="exact"/>
              <w:rPr>
                <w:rFonts w:hint="default" w:asciiTheme="majorEastAsia" w:hAnsiTheme="majorEastAsia" w:eastAsiaTheme="majorEastAsia"/>
                <w:color w:val="auto"/>
                <w:spacing w:val="0"/>
                <w:sz w:val="21"/>
                <w:highlight w:val="none"/>
              </w:rPr>
            </w:pPr>
            <w:r>
              <w:rPr>
                <w:rFonts w:hint="eastAsia" w:asciiTheme="majorEastAsia" w:hAnsiTheme="majorEastAsia" w:eastAsiaTheme="majorEastAsia"/>
                <w:color w:val="auto"/>
                <w:spacing w:val="0"/>
                <w:sz w:val="21"/>
                <w:highlight w:val="none"/>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300" w:lineRule="exact"/>
              <w:jc w:val="center"/>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①原油等の仕入単価の上昇（注２）</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　Ｅ：原油等の最近１か月間における平均仕入れ単価</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　ｅ：Ｅの期間に対応する前年１か月間の平均仕入れ単価</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ind w:firstLine="636" w:firstLineChars="300"/>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Ｅ</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ｅ</w:t>
            </w:r>
            <w:r>
              <w:rPr>
                <w:rFonts w:hint="eastAsia" w:ascii="ＭＳ ゴシック" w:hAnsi="ＭＳ ゴシック" w:eastAsia="ＭＳ ゴシック"/>
                <w:color w:val="auto"/>
                <w:kern w:val="0"/>
                <w:highlight w:val="none"/>
              </w:rPr>
              <w:t xml:space="preserve"> </w:t>
            </w:r>
            <w:r>
              <w:rPr>
                <w:rFonts w:hint="eastAsia"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 xml:space="preserve"> 100 </w:t>
            </w:r>
            <w:r>
              <w:rPr>
                <w:rFonts w:hint="eastAsia"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 xml:space="preserve"> 100                     </w:t>
            </w:r>
            <w:r>
              <w:rPr>
                <w:rFonts w:hint="eastAsia" w:asciiTheme="majorEastAsia" w:hAnsiTheme="majorEastAsia" w:eastAsiaTheme="majorEastAsia"/>
                <w:color w:val="auto"/>
                <w:kern w:val="0"/>
                <w:highlight w:val="none"/>
              </w:rPr>
              <w:t>上昇率</w:t>
            </w:r>
            <w:r>
              <w:rPr>
                <w:rFonts w:hint="eastAsia" w:ascii="ＭＳ ゴシック" w:hAnsi="ＭＳ ゴシック" w:eastAsia="ＭＳ ゴシック"/>
                <w:color w:val="auto"/>
                <w:kern w:val="0"/>
                <w:highlight w:val="none"/>
                <w:u w:val="single" w:color="000000"/>
              </w:rPr>
              <w:t>　　　　　</w:t>
            </w:r>
            <w:r>
              <w:rPr>
                <w:rFonts w:hint="default" w:ascii="ＭＳ ゴシック" w:hAnsi="ＭＳ ゴシック" w:eastAsia="ＭＳ ゴシック"/>
                <w:color w:val="auto"/>
                <w:kern w:val="0"/>
                <w:highlight w:val="none"/>
                <w:u w:val="single" w:color="000000"/>
              </w:rPr>
              <w:t xml:space="preserve"> </w:t>
            </w:r>
            <w:r>
              <w:rPr>
                <w:rFonts w:hint="eastAsia" w:ascii="ＭＳ ゴシック" w:hAnsi="ＭＳ ゴシック" w:eastAsia="ＭＳ ゴシック"/>
                <w:color w:val="auto"/>
                <w:kern w:val="0"/>
                <w:highlight w:val="none"/>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②原油等が売上原価に占める割合（注２）</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Ｃ：申込時点における最新の売上原価</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Ｓ：Ｃの売上原価に対応する原油等の仕入価格</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ind w:firstLine="636" w:firstLineChars="300"/>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Ｓ</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Ｃ</w:t>
            </w: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xml:space="preserve"> </w:t>
            </w:r>
            <w:r>
              <w:rPr>
                <w:rFonts w:hint="eastAsia"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 xml:space="preserve"> 100</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eastAsia" w:ascii="ＭＳ ゴシック" w:hAnsi="ＭＳ ゴシック" w:eastAsia="ＭＳ ゴシック"/>
                <w:color w:val="auto"/>
                <w:kern w:val="0"/>
                <w:highlight w:val="none"/>
                <w:u w:val="none" w:color="000000"/>
              </w:rPr>
              <w:t>依存率</w:t>
            </w:r>
            <w:r>
              <w:rPr>
                <w:rFonts w:hint="eastAsia" w:ascii="ＭＳ ゴシック" w:hAnsi="ＭＳ ゴシック" w:eastAsia="ＭＳ ゴシック"/>
                <w:color w:val="auto"/>
                <w:kern w:val="0"/>
                <w:highlight w:val="none"/>
                <w:u w:val="single" w:color="000000"/>
              </w:rPr>
              <w:t>　　　　　</w:t>
            </w:r>
            <w:r>
              <w:rPr>
                <w:rFonts w:hint="default" w:ascii="ＭＳ ゴシック" w:hAnsi="ＭＳ ゴシック" w:eastAsia="ＭＳ ゴシック"/>
                <w:color w:val="auto"/>
                <w:kern w:val="0"/>
                <w:highlight w:val="none"/>
                <w:u w:val="single" w:color="000000"/>
              </w:rPr>
              <w:t xml:space="preserve"> </w:t>
            </w:r>
            <w:r>
              <w:rPr>
                <w:rFonts w:hint="eastAsia" w:ascii="ＭＳ ゴシック" w:hAnsi="ＭＳ ゴシック" w:eastAsia="ＭＳ ゴシック"/>
                <w:color w:val="auto"/>
                <w:kern w:val="0"/>
                <w:highlight w:val="none"/>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③製品等価格への転嫁の状況（注３）</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Ａ：申込時点における最近３か月間の原油等の仕入価格</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　ａ：Ａの期間に対応する前年３か月間の原油等の仕入価格</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default"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Ｂ：申込時点における最近３か月間の売上高</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auto"/>
                <w:spacing w:val="16"/>
                <w:kern w:val="0"/>
                <w:highlight w:val="none"/>
              </w:rPr>
            </w:pPr>
            <w:r>
              <w:rPr>
                <w:rFonts w:hint="eastAsia" w:ascii="ＭＳ ゴシック" w:hAnsi="ＭＳ ゴシック" w:eastAsia="ＭＳ ゴシック"/>
                <w:color w:val="auto"/>
                <w:kern w:val="0"/>
                <w:highlight w:val="none"/>
              </w:rPr>
              <w:t>　ｂ：Ｂの期間に対応する前年３か月間の売上高</w:t>
            </w:r>
            <w:r>
              <w:rPr>
                <w:rFonts w:hint="eastAsia" w:ascii="ＭＳ ゴシック" w:hAnsi="ＭＳ ゴシック" w:eastAsia="ＭＳ ゴシック"/>
                <w:color w:val="auto"/>
                <w:spacing w:val="16"/>
                <w:kern w:val="0"/>
                <w:highlight w:val="none"/>
              </w:rPr>
              <w:t xml:space="preserve">        </w:t>
            </w:r>
            <w:r>
              <w:rPr>
                <w:rFonts w:hint="eastAsia" w:ascii="ＭＳ ゴシック" w:hAnsi="ＭＳ ゴシック" w:eastAsia="ＭＳ ゴシック"/>
                <w:color w:val="auto"/>
                <w:kern w:val="0"/>
                <w:highlight w:val="none"/>
                <w:u w:val="single" w:color="000000"/>
              </w:rPr>
              <w:t>　　　　　　　　　　　円（注４）</w:t>
            </w:r>
          </w:p>
          <w:p>
            <w:pPr>
              <w:pStyle w:val="0"/>
              <w:suppressAutoHyphens w:val="1"/>
              <w:kinsoku w:val="0"/>
              <w:wordWrap w:val="0"/>
              <w:overflowPunct w:val="0"/>
              <w:autoSpaceDE w:val="0"/>
              <w:autoSpaceDN w:val="0"/>
              <w:adjustRightInd w:val="0"/>
              <w:spacing w:line="300" w:lineRule="exact"/>
              <w:ind w:firstLine="636" w:firstLineChars="300"/>
              <w:jc w:val="left"/>
              <w:textAlignment w:val="baseline"/>
              <w:rPr>
                <w:rFonts w:hint="default" w:ascii="ＭＳ ゴシック" w:hAnsi="ＭＳ ゴシック" w:eastAsia="ＭＳ ゴシック"/>
                <w:color w:val="auto"/>
                <w:spacing w:val="16"/>
                <w:kern w:val="0"/>
                <w:highlight w:val="none"/>
              </w:rPr>
            </w:pPr>
            <w:r>
              <w:rPr>
                <w:rFonts w:hint="default"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Ａ</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Ｂ</w:t>
            </w:r>
            <w:r>
              <w:rPr>
                <w:rFonts w:hint="eastAsia" w:asciiTheme="majorEastAsia" w:hAnsiTheme="majorEastAsia" w:eastAsiaTheme="majorEastAsia"/>
                <w:color w:val="auto"/>
                <w:kern w:val="0"/>
                <w:highlight w:val="none"/>
              </w:rPr>
              <w:t>)</w:t>
            </w:r>
            <w:r>
              <w:rPr>
                <w:rFonts w:hint="default"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ａ</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／ｂ）</w:t>
            </w:r>
            <w:r>
              <w:rPr>
                <w:rFonts w:hint="eastAsia" w:asciiTheme="majorEastAsia" w:hAnsiTheme="majorEastAsia" w:eastAsiaTheme="majorEastAsia"/>
                <w:color w:val="auto"/>
                <w:kern w:val="0"/>
                <w:highlight w:val="none"/>
              </w:rPr>
              <w:t xml:space="preserve"> </w:t>
            </w:r>
            <w:r>
              <w:rPr>
                <w:rFonts w:hint="eastAsia" w:asciiTheme="majorEastAsia" w:hAnsiTheme="majorEastAsia" w:eastAsiaTheme="majorEastAsia"/>
                <w:color w:val="auto"/>
                <w:kern w:val="0"/>
                <w:highlight w:val="none"/>
              </w:rPr>
              <w:t>＝Ｐ</w:t>
            </w:r>
            <w:r>
              <w:rPr>
                <w:rFonts w:hint="default" w:asciiTheme="majorEastAsia" w:hAnsiTheme="majorEastAsia" w:eastAsiaTheme="majorEastAsia"/>
                <w:color w:val="auto"/>
                <w:kern w:val="0"/>
                <w:highlight w:val="none"/>
              </w:rPr>
              <w:t xml:space="preserve"> </w:t>
            </w:r>
            <w:r>
              <w:rPr>
                <w:rFonts w:hint="eastAsia" w:ascii="ＭＳ ゴシック" w:hAnsi="ＭＳ ゴシック" w:eastAsia="ＭＳ ゴシック"/>
                <w:color w:val="auto"/>
                <w:kern w:val="0"/>
                <w:highlight w:val="none"/>
              </w:rPr>
              <w:t>　　</w:t>
            </w:r>
            <w:r>
              <w:rPr>
                <w:rFonts w:hint="eastAsia" w:ascii="ＭＳ ゴシック" w:hAnsi="ＭＳ ゴシック" w:eastAsia="ＭＳ ゴシック"/>
                <w:color w:val="auto"/>
                <w:kern w:val="0"/>
                <w:highlight w:val="none"/>
              </w:rPr>
              <w:t xml:space="preserve">     </w:t>
            </w:r>
            <w:r>
              <w:rPr>
                <w:rFonts w:hint="eastAsia" w:ascii="ＭＳ ゴシック" w:hAnsi="ＭＳ ゴシック" w:eastAsia="ＭＳ ゴシック"/>
                <w:color w:val="auto"/>
                <w:kern w:val="0"/>
                <w:highlight w:val="none"/>
              </w:rPr>
              <w:t>　　</w:t>
            </w:r>
            <w:r>
              <w:rPr>
                <w:rFonts w:hint="default" w:ascii="ＭＳ ゴシック" w:hAnsi="ＭＳ ゴシック" w:eastAsia="ＭＳ ゴシック"/>
                <w:color w:val="auto"/>
                <w:kern w:val="0"/>
                <w:highlight w:val="none"/>
                <w:u w:val="none" w:color="000000"/>
              </w:rPr>
              <w:t xml:space="preserve"> </w:t>
            </w:r>
            <w:r>
              <w:rPr>
                <w:rFonts w:hint="eastAsia" w:ascii="ＭＳ ゴシック" w:hAnsi="ＭＳ ゴシック" w:eastAsia="ＭＳ ゴシック"/>
                <w:color w:val="auto"/>
                <w:kern w:val="0"/>
                <w:highlight w:val="none"/>
                <w:u w:val="none" w:color="000000"/>
              </w:rPr>
              <w:t>Ｐ＝</w:t>
            </w:r>
            <w:r>
              <w:rPr>
                <w:rFonts w:hint="default" w:ascii="ＭＳ ゴシック" w:hAnsi="ＭＳ ゴシック" w:eastAsia="ＭＳ ゴシック"/>
                <w:color w:val="auto"/>
                <w:kern w:val="0"/>
                <w:highlight w:val="none"/>
                <w:u w:val="single" w:color="000000"/>
              </w:rPr>
              <w:t xml:space="preserve"> </w:t>
            </w:r>
            <w:r>
              <w:rPr>
                <w:rFonts w:hint="eastAsia" w:ascii="ＭＳ ゴシック" w:hAnsi="ＭＳ ゴシック" w:eastAsia="ＭＳ ゴシック"/>
                <w:color w:val="auto"/>
                <w:kern w:val="0"/>
                <w:highlight w:val="none"/>
                <w:u w:val="single" w:color="000000"/>
              </w:rPr>
              <w:t>　　　</w:t>
            </w:r>
            <w:r>
              <w:rPr>
                <w:rFonts w:hint="default" w:ascii="ＭＳ ゴシック" w:hAnsi="ＭＳ ゴシック" w:eastAsia="ＭＳ ゴシック"/>
                <w:color w:val="auto"/>
                <w:kern w:val="0"/>
                <w:highlight w:val="none"/>
                <w:u w:val="single" w:color="000000"/>
              </w:rPr>
              <w:t xml:space="preserve"> </w:t>
            </w:r>
            <w:r>
              <w:rPr>
                <w:rFonts w:hint="eastAsia" w:ascii="ＭＳ ゴシック" w:hAnsi="ＭＳ ゴシック" w:eastAsia="ＭＳ ゴシック"/>
                <w:color w:val="auto"/>
                <w:kern w:val="0"/>
                <w:highlight w:val="none"/>
                <w:u w:val="single" w:color="000000"/>
              </w:rPr>
              <w:t>　　　　　</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auto"/>
                <w:spacing w:val="16"/>
                <w:kern w:val="0"/>
                <w:highlight w:val="none"/>
              </w:rPr>
            </w:pPr>
            <w:r>
              <w:rPr>
                <w:rFonts w:hint="eastAsia"/>
                <w:color w:val="auto"/>
                <w:highlight w:val="none"/>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41275</wp:posOffset>
                      </wp:positionV>
                      <wp:extent cx="6281420" cy="248920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6281420" cy="2489200"/>
                              </a:xfrm>
                              <a:prstGeom prst="rect">
                                <a:avLst/>
                              </a:prstGeom>
                              <a:noFill/>
                              <a:ln w="9525">
                                <a:solidFill>
                                  <a:srgbClr val="FFFFFF"/>
                                </a:solidFill>
                                <a:miter lim="800000"/>
                                <a:headEnd/>
                                <a:tailEnd/>
                              </a:ln>
                            </wps:spPr>
                            <wps:txbx>
                              <w:txbxContent>
                                <w:p>
                                  <w:pPr>
                                    <w:pStyle w:val="0"/>
                                    <w:suppressAutoHyphens w:val="1"/>
                                    <w:wordWrap w:val="0"/>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0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20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w:t>
                                  </w:r>
                                  <w:r>
                                    <w:rPr>
                                      <w:rFonts w:hint="eastAsia" w:asciiTheme="majorEastAsia" w:hAnsiTheme="majorEastAsia" w:eastAsiaTheme="majorEastAsia"/>
                                      <w:sz w:val="18"/>
                                    </w:rPr>
                                    <w:t>本認定とは別に、金融機関及び信用保証協会による金融上の審査があります。</w:t>
                                  </w:r>
                                </w:p>
                                <w:p>
                                  <w:pPr>
                                    <w:pStyle w:val="0"/>
                                    <w:widowControl w:val="1"/>
                                    <w:spacing w:line="200" w:lineRule="exact"/>
                                    <w:ind w:left="545" w:hanging="545" w:hangingChars="25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w:t>
                                  </w:r>
                                  <w:r>
                                    <w:rPr>
                                      <w:rFonts w:hint="eastAsia" w:asciiTheme="majorEastAsia" w:hAnsiTheme="majorEastAsia" w:eastAsiaTheme="majorEastAsia"/>
                                      <w:sz w:val="18"/>
                                    </w:rPr>
                                    <w:t>酒々井町長から認定を受けた後、本認定の有効期間内に金融機関又は信用保証協会に対して、　経営安定関連保証の申込みを行うことが必要です。</w:t>
                                  </w:r>
                                </w:p>
                                <w:p>
                                  <w:pPr>
                                    <w:pStyle w:val="0"/>
                                    <w:widowControl w:val="1"/>
                                    <w:spacing w:line="120" w:lineRule="exact"/>
                                    <w:ind w:left="545" w:hanging="545" w:hangingChars="257"/>
                                    <w:jc w:val="left"/>
                                    <w:rPr>
                                      <w:rFonts w:hint="default" w:ascii="ＭＳ ゴシック" w:hAnsi="ＭＳ ゴシック" w:eastAsia="ＭＳ ゴシック"/>
                                      <w:color w:val="000000"/>
                                      <w:spacing w:val="16"/>
                                      <w:kern w:val="0"/>
                                      <w:sz w:val="18"/>
                                    </w:rPr>
                                  </w:pPr>
                                </w:p>
                                <w:p>
                                  <w:pPr>
                                    <w:pStyle w:val="24"/>
                                    <w:spacing w:line="240" w:lineRule="exact"/>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spacing w:line="240" w:lineRule="exact"/>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spacing w:line="240" w:lineRule="exact"/>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20" w:lineRule="exact"/>
                                    <w:ind w:firstLine="210" w:firstLineChars="100"/>
                                    <w:rPr>
                                      <w:rFonts w:hint="default" w:asciiTheme="majorEastAsia" w:hAnsiTheme="majorEastAsia" w:eastAsiaTheme="majorEastAsia"/>
                                      <w:color w:val="auto"/>
                                    </w:rPr>
                                  </w:pPr>
                                </w:p>
                                <w:p>
                                  <w:pPr>
                                    <w:pStyle w:val="0"/>
                                    <w:widowControl w:val="1"/>
                                    <w:wordWrap w:val="0"/>
                                    <w:spacing w:line="240" w:lineRule="exact"/>
                                    <w:ind w:left="545" w:hanging="545" w:hangingChars="257"/>
                                    <w:jc w:val="right"/>
                                    <w:rPr>
                                      <w:rFonts w:hint="default" w:ascii="ＭＳ ゴシック" w:hAnsi="ＭＳ ゴシック" w:eastAsia="ＭＳ ゴシック"/>
                                      <w:color w:val="000000"/>
                                      <w:spacing w:val="16"/>
                                      <w:kern w:val="0"/>
                                    </w:rPr>
                                  </w:pPr>
                                  <w:r>
                                    <w:rPr>
                                      <w:rFonts w:hint="eastAsia" w:asciiTheme="majorEastAsia" w:hAnsiTheme="majorEastAsia" w:eastAsiaTheme="majorEastAsia"/>
                                      <w:color w:val="auto"/>
                                    </w:rPr>
                                    <w:t>　　　　　　　　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r>
                                    <w:rPr>
                                      <w:rFonts w:hint="eastAsia"/>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25pt;mso-position-vertical-relative:text;mso-position-horizontal-relative:text;v-text-anchor:top;position:absolute;height:196pt;mso-wrap-distance-top:0pt;width:494.6pt;mso-wrap-distance-left:9pt;margin-left:-9pt;z-index:2;" o:spid="_x0000_s1026" o:allowincell="t" o:allowoverlap="t" filled="f" stroked="t" strokecolor="#ffffff" strokeweight="0.75pt" o:spt="202" type="#_x0000_t202">
                      <v:fill/>
                      <v:stroke miterlimit="8" filltype="solid"/>
                      <v:textbox style="layout-flow:horizontal;">
                        <w:txbxContent>
                          <w:p>
                            <w:pPr>
                              <w:pStyle w:val="0"/>
                              <w:suppressAutoHyphens w:val="1"/>
                              <w:wordWrap w:val="0"/>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0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20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w:t>
                            </w:r>
                            <w:r>
                              <w:rPr>
                                <w:rFonts w:hint="eastAsia" w:asciiTheme="majorEastAsia" w:hAnsiTheme="majorEastAsia" w:eastAsiaTheme="majorEastAsia"/>
                                <w:sz w:val="18"/>
                              </w:rPr>
                              <w:t>本認定とは別に、金融機関及び信用保証協会による金融上の審査があります。</w:t>
                            </w:r>
                          </w:p>
                          <w:p>
                            <w:pPr>
                              <w:pStyle w:val="0"/>
                              <w:widowControl w:val="1"/>
                              <w:spacing w:line="200" w:lineRule="exact"/>
                              <w:ind w:left="545" w:hanging="545" w:hangingChars="25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w:t>
                            </w:r>
                            <w:r>
                              <w:rPr>
                                <w:rFonts w:hint="eastAsia" w:asciiTheme="majorEastAsia" w:hAnsiTheme="majorEastAsia" w:eastAsiaTheme="majorEastAsia"/>
                                <w:sz w:val="18"/>
                              </w:rPr>
                              <w:t>酒々井町長から認定を受けた後、本認定の有効期間内に金融機関又は信用保証協会に対して、　経営安定関連保証の申込みを行うことが必要です。</w:t>
                            </w:r>
                          </w:p>
                          <w:p>
                            <w:pPr>
                              <w:pStyle w:val="0"/>
                              <w:widowControl w:val="1"/>
                              <w:spacing w:line="120" w:lineRule="exact"/>
                              <w:ind w:left="545" w:hanging="545" w:hangingChars="257"/>
                              <w:jc w:val="left"/>
                              <w:rPr>
                                <w:rFonts w:hint="default" w:ascii="ＭＳ ゴシック" w:hAnsi="ＭＳ ゴシック" w:eastAsia="ＭＳ ゴシック"/>
                                <w:color w:val="000000"/>
                                <w:spacing w:val="16"/>
                                <w:kern w:val="0"/>
                                <w:sz w:val="18"/>
                              </w:rPr>
                            </w:pPr>
                          </w:p>
                          <w:p>
                            <w:pPr>
                              <w:pStyle w:val="24"/>
                              <w:spacing w:line="240" w:lineRule="exact"/>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spacing w:line="240" w:lineRule="exact"/>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spacing w:line="240" w:lineRule="exact"/>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20" w:lineRule="exact"/>
                              <w:ind w:firstLine="210" w:firstLineChars="100"/>
                              <w:rPr>
                                <w:rFonts w:hint="default" w:asciiTheme="majorEastAsia" w:hAnsiTheme="majorEastAsia" w:eastAsiaTheme="majorEastAsia"/>
                                <w:color w:val="auto"/>
                              </w:rPr>
                            </w:pPr>
                          </w:p>
                          <w:p>
                            <w:pPr>
                              <w:pStyle w:val="0"/>
                              <w:widowControl w:val="1"/>
                              <w:wordWrap w:val="0"/>
                              <w:spacing w:line="240" w:lineRule="exact"/>
                              <w:ind w:left="545" w:hanging="545" w:hangingChars="257"/>
                              <w:jc w:val="right"/>
                              <w:rPr>
                                <w:rFonts w:hint="default" w:ascii="ＭＳ ゴシック" w:hAnsi="ＭＳ ゴシック" w:eastAsia="ＭＳ ゴシック"/>
                                <w:color w:val="000000"/>
                                <w:spacing w:val="16"/>
                                <w:kern w:val="0"/>
                              </w:rPr>
                            </w:pPr>
                            <w:r>
                              <w:rPr>
                                <w:rFonts w:hint="eastAsia" w:asciiTheme="majorEastAsia" w:hAnsiTheme="majorEastAsia" w:eastAsiaTheme="majorEastAsia"/>
                                <w:color w:val="auto"/>
                              </w:rPr>
                              <w:t>　　　　　　　　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r>
                              <w:rPr>
                                <w:rFonts w:hint="eastAsia"/>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p>
                        </w:txbxContent>
                      </v:textbox>
                      <v:imagedata o:title=""/>
                      <w10:wrap type="none" anchorx="text" anchory="text"/>
                    </v:shape>
                  </w:pict>
                </mc:Fallback>
              </mc:AlternateConten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kern w:val="0"/>
          <w:highlight w:val="none"/>
        </w:rPr>
      </w:pPr>
    </w:p>
    <w:p>
      <w:pPr>
        <w:pStyle w:val="0"/>
        <w:widowControl w:val="1"/>
        <w:spacing w:line="300" w:lineRule="exact"/>
        <w:ind w:left="622" w:hanging="622" w:hangingChars="257"/>
        <w:jc w:val="right"/>
        <w:rPr>
          <w:rFonts w:hint="default" w:ascii="ＭＳ ゴシック" w:hAnsi="ＭＳ ゴシック" w:eastAsia="ＭＳ ゴシック"/>
          <w:color w:val="auto"/>
          <w:kern w:val="0"/>
          <w:sz w:val="24"/>
          <w:highlight w:val="none"/>
        </w:rPr>
      </w:pPr>
      <w:r>
        <w:rPr>
          <w:rFonts w:hint="default" w:ascii="ＭＳ ゴシック" w:hAnsi="ＭＳ ゴシック" w:eastAsia="ＭＳ ゴシック"/>
          <w:color w:val="auto"/>
          <w:sz w:val="24"/>
          <w:highlight w:val="none"/>
        </w:rPr>
        <w:br w:type="page"/>
      </w:r>
      <w:r>
        <w:rPr>
          <w:rFonts w:hint="eastAsia" w:ascii="ＭＳ ゴシック" w:hAnsi="ＭＳ ゴシック" w:eastAsia="ＭＳ ゴシック"/>
          <w:color w:val="auto"/>
          <w:kern w:val="0"/>
          <w:sz w:val="24"/>
          <w:highlight w:val="none"/>
        </w:rPr>
        <w:t>（申請書ロ－１の添付書類）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sz w:val="24"/>
          <w:highlight w:val="none"/>
          <w:u w:val="single" w:color="auto"/>
        </w:rPr>
      </w:pPr>
      <w:r>
        <w:rPr>
          <w:rFonts w:hint="eastAsia" w:ascii="ＭＳ ゴシック" w:hAnsi="ＭＳ ゴシック" w:eastAsia="ＭＳ ゴシック"/>
          <w:color w:val="auto"/>
          <w:sz w:val="24"/>
          <w:highlight w:val="none"/>
          <w:u w:val="single" w:color="auto"/>
        </w:rPr>
        <w:t>申請者名：　　　　　　　　　　　　　　　</w:t>
      </w:r>
    </w:p>
    <w:p>
      <w:pPr>
        <w:pStyle w:val="0"/>
        <w:widowControl w:val="1"/>
        <w:jc w:val="left"/>
        <w:rPr>
          <w:rFonts w:hint="default" w:ascii="ＭＳ ゴシック" w:hAnsi="ＭＳ ゴシック" w:eastAsia="ＭＳ ゴシック"/>
          <w:color w:val="auto"/>
          <w:sz w:val="24"/>
          <w:highlight w:val="none"/>
        </w:rPr>
      </w:pPr>
    </w:p>
    <w:p>
      <w:pPr>
        <w:pStyle w:val="0"/>
        <w:widowControl w:val="1"/>
        <w:jc w:val="lef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highlight w:val="none"/>
              </w:rPr>
              <w:t>業種（※２）</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highlight w:val="none"/>
              </w:rPr>
              <w:t>最近１年間の売上高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highlight w:val="none"/>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auto"/>
                <w:sz w:val="21"/>
                <w:highlight w:val="none"/>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auto"/>
                <w:sz w:val="21"/>
                <w:highlight w:val="none"/>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auto"/>
                <w:sz w:val="21"/>
                <w:highlight w:val="none"/>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color w:val="auto"/>
                <w:sz w:val="21"/>
                <w:highlight w:val="none"/>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100</w:t>
            </w:r>
            <w:r>
              <w:rPr>
                <w:rFonts w:hint="eastAsia" w:ascii="ＭＳ ゴシック" w:hAnsi="ＭＳ ゴシック" w:eastAsia="ＭＳ ゴシック"/>
                <w:color w:val="auto"/>
                <w:sz w:val="21"/>
                <w:highlight w:val="none"/>
              </w:rPr>
              <w:t>％</w:t>
            </w:r>
          </w:p>
        </w:tc>
      </w:tr>
    </w:tbl>
    <w:p>
      <w:pPr>
        <w:pStyle w:val="0"/>
        <w:widowControl w:val="1"/>
        <w:jc w:val="left"/>
        <w:rPr>
          <w:rFonts w:hint="eastAsia"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z w:val="21"/>
          <w:highlight w:val="none"/>
        </w:rPr>
        <w:t>※１：業種欄には、営んでいる全ての事業が属する業種（</w:t>
      </w:r>
      <w:r>
        <w:rPr>
          <w:rFonts w:hint="eastAsia" w:ascii="ＭＳ ゴシック" w:hAnsi="ＭＳ ゴシック" w:eastAsia="ＭＳ ゴシック"/>
          <w:color w:val="auto"/>
          <w:spacing w:val="16"/>
          <w:kern w:val="0"/>
          <w:sz w:val="21"/>
          <w:highlight w:val="none"/>
        </w:rPr>
        <w:t>日本標準産業分類の細分類</w:t>
      </w:r>
    </w:p>
    <w:p>
      <w:pPr>
        <w:pStyle w:val="0"/>
        <w:widowControl w:val="1"/>
        <w:ind w:left="636" w:leftChars="300" w:firstLine="137" w:firstLineChars="50"/>
        <w:jc w:val="left"/>
        <w:rPr>
          <w:rFonts w:hint="eastAsia"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pacing w:val="16"/>
          <w:kern w:val="0"/>
          <w:sz w:val="21"/>
          <w:highlight w:val="none"/>
        </w:rPr>
        <w:t>番号と細分類業種名）を記載。細分類業種は全て指定業種に該当するこ</w:t>
      </w:r>
    </w:p>
    <w:p>
      <w:pPr>
        <w:pStyle w:val="0"/>
        <w:widowControl w:val="1"/>
        <w:ind w:left="636" w:leftChars="300" w:firstLine="137" w:firstLineChars="50"/>
        <w:jc w:val="left"/>
        <w:rPr>
          <w:rFonts w:hint="default"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pacing w:val="16"/>
          <w:kern w:val="0"/>
          <w:sz w:val="21"/>
          <w:highlight w:val="none"/>
        </w:rPr>
        <w:t>とが必要。</w:t>
      </w:r>
    </w:p>
    <w:p>
      <w:pPr>
        <w:pStyle w:val="0"/>
        <w:widowControl w:val="1"/>
        <w:jc w:val="left"/>
        <w:rPr>
          <w:rFonts w:hint="default"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pacing w:val="16"/>
          <w:kern w:val="0"/>
          <w:sz w:val="21"/>
          <w:highlight w:val="none"/>
        </w:rPr>
        <w:t>※２：指定業種の売上高を合算して記載することも可</w:t>
      </w:r>
    </w:p>
    <w:p>
      <w:pPr>
        <w:pStyle w:val="0"/>
        <w:suppressAutoHyphens w:val="1"/>
        <w:kinsoku w:val="0"/>
        <w:wordWrap w:val="0"/>
        <w:autoSpaceDE w:val="0"/>
        <w:autoSpaceDN w:val="0"/>
        <w:spacing w:before="183" w:beforeLines="50" w:beforeAutospacing="0" w:line="366" w:lineRule="atLeast"/>
        <w:jc w:val="lef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（表２：企業全体に係る原油等の仕入単価の上昇）</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949"/>
        <w:gridCol w:w="2756"/>
        <w:gridCol w:w="3074"/>
        <w:gridCol w:w="3007"/>
      </w:tblGrid>
      <w:tr>
        <w:trPr/>
        <w:tc>
          <w:tcPr>
            <w:tcW w:w="949" w:type="dxa"/>
            <w:vAlign w:val="top"/>
          </w:tcPr>
          <w:p>
            <w:pPr>
              <w:pStyle w:val="0"/>
              <w:rPr>
                <w:rFonts w:hint="default" w:ascii="ＭＳ ゴシック" w:hAnsi="ＭＳ ゴシック" w:eastAsia="ＭＳ ゴシック"/>
                <w:color w:val="auto"/>
                <w:sz w:val="21"/>
                <w:highlight w:val="none"/>
              </w:rPr>
            </w:pPr>
          </w:p>
        </w:tc>
        <w:tc>
          <w:tcPr>
            <w:tcW w:w="2756" w:type="dxa"/>
            <w:vAlign w:val="top"/>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原油等の最近１か月の</w:t>
            </w:r>
          </w:p>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平均仕入単価【Ｅ】</w:t>
            </w:r>
          </w:p>
        </w:tc>
        <w:tc>
          <w:tcPr>
            <w:tcW w:w="3074" w:type="dxa"/>
            <w:vAlign w:val="top"/>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原油等の前年同月の</w:t>
            </w:r>
          </w:p>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平均仕入単価【ｅ】</w:t>
            </w:r>
          </w:p>
        </w:tc>
        <w:tc>
          <w:tcPr>
            <w:tcW w:w="3007" w:type="dxa"/>
            <w:vAlign w:val="top"/>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原油等の仕入単価の</w:t>
            </w:r>
          </w:p>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上昇率（</w:t>
            </w:r>
            <w:r>
              <w:rPr>
                <w:rFonts w:hint="eastAsia" w:ascii="ＭＳ ゴシック" w:hAnsi="ＭＳ ゴシック" w:eastAsia="ＭＳ ゴシック"/>
                <w:color w:val="auto"/>
                <w:sz w:val="21"/>
                <w:highlight w:val="none"/>
              </w:rPr>
              <w:t>E/</w:t>
            </w:r>
            <w:r>
              <w:rPr>
                <w:rFonts w:hint="eastAsia" w:ascii="ＭＳ ゴシック" w:hAnsi="ＭＳ ゴシック" w:eastAsia="ＭＳ ゴシック"/>
                <w:color w:val="auto"/>
                <w:sz w:val="21"/>
                <w:highlight w:val="none"/>
              </w:rPr>
              <w:t>ｅ×</w:t>
            </w:r>
            <w:r>
              <w:rPr>
                <w:rFonts w:hint="eastAsia" w:ascii="ＭＳ ゴシック" w:hAnsi="ＭＳ ゴシック" w:eastAsia="ＭＳ ゴシック"/>
                <w:color w:val="auto"/>
                <w:sz w:val="21"/>
                <w:highlight w:val="none"/>
              </w:rPr>
              <w:t>100</w:t>
            </w: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sz w:val="21"/>
                <w:highlight w:val="none"/>
              </w:rPr>
              <w:t>100</w:t>
            </w:r>
            <w:r>
              <w:rPr>
                <w:rFonts w:hint="eastAsia" w:ascii="ＭＳ ゴシック" w:hAnsi="ＭＳ ゴシック" w:eastAsia="ＭＳ ゴシック"/>
                <w:color w:val="auto"/>
                <w:sz w:val="21"/>
                <w:highlight w:val="none"/>
              </w:rPr>
              <w:t>）</w:t>
            </w:r>
          </w:p>
        </w:tc>
      </w:tr>
      <w:tr>
        <w:trPr>
          <w:trHeight w:val="454" w:hRule="atLeast"/>
        </w:trPr>
        <w:tc>
          <w:tcPr>
            <w:tcW w:w="949"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企業全体</w:t>
            </w:r>
          </w:p>
        </w:tc>
        <w:tc>
          <w:tcPr>
            <w:tcW w:w="2756"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074"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3007"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bl>
    <w:p>
      <w:pPr>
        <w:pStyle w:val="0"/>
        <w:suppressAutoHyphens w:val="1"/>
        <w:kinsoku w:val="0"/>
        <w:wordWrap w:val="0"/>
        <w:autoSpaceDE w:val="0"/>
        <w:autoSpaceDN w:val="0"/>
        <w:spacing w:before="183" w:beforeLines="50" w:beforeAutospacing="0" w:line="366" w:lineRule="atLeast"/>
        <w:jc w:val="lef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（表３：企業全体の売上原価に占める原油等の仕入価格の割合</w:t>
      </w:r>
      <w:r>
        <w:rPr>
          <w:rFonts w:hint="eastAsia" w:ascii="ＭＳ ゴシック" w:hAnsi="ＭＳ ゴシック" w:eastAsia="ＭＳ ゴシック"/>
          <w:color w:val="auto"/>
          <w:kern w:val="0"/>
          <w:sz w:val="21"/>
          <w:highlight w:val="none"/>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055"/>
        <w:gridCol w:w="2968"/>
        <w:gridCol w:w="2862"/>
        <w:gridCol w:w="2901"/>
      </w:tblGrid>
      <w:tr>
        <w:trPr>
          <w:trHeight w:val="698" w:hRule="atLeast"/>
        </w:trPr>
        <w:tc>
          <w:tcPr>
            <w:tcW w:w="1055" w:type="dxa"/>
            <w:vAlign w:val="top"/>
          </w:tcPr>
          <w:p>
            <w:pPr>
              <w:pStyle w:val="0"/>
              <w:jc w:val="center"/>
              <w:rPr>
                <w:rFonts w:hint="default" w:ascii="ＭＳ ゴシック" w:hAnsi="ＭＳ ゴシック" w:eastAsia="ＭＳ ゴシック"/>
                <w:color w:val="auto"/>
                <w:sz w:val="21"/>
                <w:highlight w:val="none"/>
              </w:rPr>
            </w:pPr>
          </w:p>
        </w:tc>
        <w:tc>
          <w:tcPr>
            <w:tcW w:w="2968" w:type="dxa"/>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最新の売上原価【Ｃ】</w:t>
            </w:r>
          </w:p>
        </w:tc>
        <w:tc>
          <w:tcPr>
            <w:tcW w:w="2862" w:type="dxa"/>
            <w:vAlign w:val="top"/>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最新の売上原価に対応する原油等の仕入価格【Ｓ】</w:t>
            </w:r>
          </w:p>
        </w:tc>
        <w:tc>
          <w:tcPr>
            <w:tcW w:w="2901" w:type="dxa"/>
            <w:vAlign w:val="top"/>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売上原価に占める原油等の仕入価格の割合（</w:t>
            </w:r>
            <w:r>
              <w:rPr>
                <w:rFonts w:hint="eastAsia" w:ascii="ＭＳ ゴシック" w:hAnsi="ＭＳ ゴシック" w:eastAsia="ＭＳ ゴシック"/>
                <w:color w:val="auto"/>
                <w:sz w:val="21"/>
                <w:highlight w:val="none"/>
              </w:rPr>
              <w:t>S/C</w:t>
            </w: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sz w:val="21"/>
                <w:highlight w:val="none"/>
              </w:rPr>
              <w:t>100</w:t>
            </w:r>
            <w:r>
              <w:rPr>
                <w:rFonts w:hint="eastAsia" w:ascii="ＭＳ ゴシック" w:hAnsi="ＭＳ ゴシック" w:eastAsia="ＭＳ ゴシック"/>
                <w:color w:val="auto"/>
                <w:sz w:val="21"/>
                <w:highlight w:val="none"/>
              </w:rPr>
              <w:t>）</w:t>
            </w:r>
          </w:p>
        </w:tc>
      </w:tr>
      <w:tr>
        <w:trPr>
          <w:trHeight w:val="454" w:hRule="atLeast"/>
        </w:trPr>
        <w:tc>
          <w:tcPr>
            <w:tcW w:w="1055"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企業全体</w:t>
            </w:r>
          </w:p>
        </w:tc>
        <w:tc>
          <w:tcPr>
            <w:tcW w:w="2968"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2862"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2901"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（注）最新の売上原価及び原油等の仕入価格は、直近の決算期の値を用いることも可。</w:t>
      </w:r>
    </w:p>
    <w:p>
      <w:pPr>
        <w:pStyle w:val="0"/>
        <w:suppressAutoHyphens w:val="1"/>
        <w:kinsoku w:val="0"/>
        <w:wordWrap w:val="0"/>
        <w:autoSpaceDE w:val="0"/>
        <w:autoSpaceDN w:val="0"/>
        <w:spacing w:before="183" w:beforeLines="50" w:beforeAutospacing="0" w:line="366" w:lineRule="atLeast"/>
        <w:jc w:val="left"/>
        <w:rPr>
          <w:rFonts w:hint="default" w:ascii="ＭＳ ゴシック" w:hAnsi="ＭＳ ゴシック" w:eastAsia="ＭＳ ゴシック"/>
          <w:color w:val="auto"/>
          <w:kern w:val="0"/>
          <w:sz w:val="21"/>
          <w:highlight w:val="none"/>
        </w:rPr>
      </w:pPr>
      <w:r>
        <w:rPr>
          <w:rFonts w:hint="eastAsia" w:ascii="ＭＳ ゴシック" w:hAnsi="ＭＳ ゴシック" w:eastAsia="ＭＳ ゴシック"/>
          <w:color w:val="auto"/>
          <w:sz w:val="21"/>
          <w:highlight w:val="none"/>
        </w:rPr>
        <w:t>（表４：</w:t>
      </w:r>
      <w:r>
        <w:rPr>
          <w:rFonts w:hint="eastAsia" w:ascii="ＭＳ ゴシック" w:hAnsi="ＭＳ ゴシック" w:eastAsia="ＭＳ ゴシック"/>
          <w:color w:val="auto"/>
          <w:kern w:val="0"/>
          <w:sz w:val="21"/>
          <w:highlight w:val="none"/>
        </w:rPr>
        <w:t>企業全体の製品等価格への転嫁の状況）</w:t>
      </w:r>
    </w:p>
    <w:tbl>
      <w:tblPr>
        <w:tblStyle w:val="11"/>
        <w:tblpPr w:leftFromText="0" w:rightFromText="0" w:topFromText="0" w:bottomFromText="0" w:vertAnchor="text" w:horzAnchor="margin" w:tblpXSpec="left" w:tblpY="1"/>
        <w:tblOverlap w:val="never"/>
        <w:tblW w:w="98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949"/>
        <w:gridCol w:w="1908"/>
        <w:gridCol w:w="1484"/>
        <w:gridCol w:w="636"/>
        <w:gridCol w:w="1696"/>
        <w:gridCol w:w="1272"/>
        <w:gridCol w:w="530"/>
        <w:gridCol w:w="1378"/>
      </w:tblGrid>
      <w:tr>
        <w:trPr>
          <w:trHeight w:val="904" w:hRule="atLeast"/>
        </w:trPr>
        <w:tc>
          <w:tcPr>
            <w:tcW w:w="94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sz w:val="21"/>
                <w:highlight w:val="none"/>
              </w:rPr>
            </w:pPr>
          </w:p>
        </w:tc>
        <w:tc>
          <w:tcPr>
            <w:tcW w:w="1908"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最近３か月間の原油等の仕入価格【</w:t>
            </w:r>
            <w:r>
              <w:rPr>
                <w:rFonts w:hint="eastAsia" w:ascii="ＭＳ ゴシック" w:hAnsi="ＭＳ ゴシック" w:eastAsia="ＭＳ ゴシック"/>
                <w:color w:val="auto"/>
                <w:sz w:val="20"/>
                <w:highlight w:val="none"/>
              </w:rPr>
              <w:t>A</w:t>
            </w:r>
            <w:r>
              <w:rPr>
                <w:rFonts w:hint="eastAsia" w:ascii="ＭＳ ゴシック" w:hAnsi="ＭＳ ゴシック" w:eastAsia="ＭＳ ゴシック"/>
                <w:color w:val="auto"/>
                <w:sz w:val="20"/>
                <w:highlight w:val="none"/>
              </w:rPr>
              <w:t>】</w:t>
            </w:r>
          </w:p>
        </w:tc>
        <w:tc>
          <w:tcPr>
            <w:tcW w:w="1484"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最近３か月間の売上高【</w:t>
            </w:r>
            <w:r>
              <w:rPr>
                <w:rFonts w:hint="eastAsia" w:ascii="ＭＳ ゴシック" w:hAnsi="ＭＳ ゴシック" w:eastAsia="ＭＳ ゴシック"/>
                <w:color w:val="auto"/>
                <w:sz w:val="20"/>
                <w:highlight w:val="none"/>
              </w:rPr>
              <w:t>B</w:t>
            </w:r>
            <w:r>
              <w:rPr>
                <w:rFonts w:hint="eastAsia" w:ascii="ＭＳ ゴシック" w:hAnsi="ＭＳ ゴシック" w:eastAsia="ＭＳ ゴシック"/>
                <w:color w:val="auto"/>
                <w:sz w:val="20"/>
                <w:highlight w:val="none"/>
              </w:rPr>
              <w:t>】</w:t>
            </w:r>
          </w:p>
        </w:tc>
        <w:tc>
          <w:tcPr>
            <w:tcW w:w="636"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A/B</w:t>
            </w:r>
          </w:p>
        </w:tc>
        <w:tc>
          <w:tcPr>
            <w:tcW w:w="1696"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前年同期の原油等の仕入価格【</w:t>
            </w:r>
            <w:r>
              <w:rPr>
                <w:rFonts w:hint="eastAsia" w:ascii="ＭＳ ゴシック" w:hAnsi="ＭＳ ゴシック" w:eastAsia="ＭＳ ゴシック"/>
                <w:color w:val="auto"/>
                <w:sz w:val="20"/>
                <w:highlight w:val="none"/>
              </w:rPr>
              <w:t>a</w:t>
            </w:r>
            <w:r>
              <w:rPr>
                <w:rFonts w:hint="eastAsia" w:ascii="ＭＳ ゴシック" w:hAnsi="ＭＳ ゴシック" w:eastAsia="ＭＳ ゴシック"/>
                <w:color w:val="auto"/>
                <w:sz w:val="20"/>
                <w:highlight w:val="none"/>
              </w:rPr>
              <w:t>】</w:t>
            </w:r>
          </w:p>
        </w:tc>
        <w:tc>
          <w:tcPr>
            <w:tcW w:w="1272"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売上高【</w:t>
            </w:r>
            <w:r>
              <w:rPr>
                <w:rFonts w:hint="eastAsia" w:ascii="ＭＳ ゴシック" w:hAnsi="ＭＳ ゴシック" w:eastAsia="ＭＳ ゴシック"/>
                <w:color w:val="auto"/>
                <w:sz w:val="20"/>
                <w:highlight w:val="none"/>
              </w:rPr>
              <w:t>b</w:t>
            </w:r>
            <w:r>
              <w:rPr>
                <w:rFonts w:hint="eastAsia" w:ascii="ＭＳ ゴシック" w:hAnsi="ＭＳ ゴシック" w:eastAsia="ＭＳ ゴシック"/>
                <w:color w:val="auto"/>
                <w:sz w:val="20"/>
                <w:highlight w:val="none"/>
              </w:rPr>
              <w:t>】</w:t>
            </w:r>
          </w:p>
        </w:tc>
        <w:tc>
          <w:tcPr>
            <w:tcW w:w="530"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a/b</w:t>
            </w:r>
          </w:p>
        </w:tc>
        <w:tc>
          <w:tcPr>
            <w:tcW w:w="1378" w:type="dxa"/>
            <w:vAlign w:val="center"/>
          </w:tcPr>
          <w:p>
            <w:pPr>
              <w:pStyle w:val="0"/>
              <w:suppressAutoHyphens w:val="1"/>
              <w:kinsoku w:val="0"/>
              <w:wordWrap w:val="0"/>
              <w:autoSpaceDE w:val="0"/>
              <w:autoSpaceDN w:val="0"/>
              <w:spacing w:line="366" w:lineRule="atLeast"/>
              <w:ind w:firstLine="101" w:firstLineChars="5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A/B</w:t>
            </w:r>
            <w:r>
              <w:rPr>
                <w:rFonts w:hint="eastAsia" w:ascii="ＭＳ ゴシック" w:hAnsi="ＭＳ ゴシック" w:eastAsia="ＭＳ ゴシック"/>
                <w:color w:val="auto"/>
                <w:sz w:val="20"/>
                <w:highlight w:val="none"/>
              </w:rPr>
              <w:t>－</w:t>
            </w:r>
            <w:r>
              <w:rPr>
                <w:rFonts w:hint="eastAsia" w:ascii="ＭＳ ゴシック" w:hAnsi="ＭＳ ゴシック" w:eastAsia="ＭＳ ゴシック"/>
                <w:color w:val="auto"/>
                <w:sz w:val="20"/>
                <w:highlight w:val="none"/>
              </w:rPr>
              <w:t>a/b</w:t>
            </w:r>
            <w:r>
              <w:rPr>
                <w:rFonts w:hint="eastAsia" w:ascii="ＭＳ ゴシック" w:hAnsi="ＭＳ ゴシック" w:eastAsia="ＭＳ ゴシック"/>
                <w:color w:val="auto"/>
                <w:sz w:val="20"/>
                <w:highlight w:val="none"/>
              </w:rPr>
              <w:t>＝Ｐ</w:t>
            </w:r>
          </w:p>
        </w:tc>
      </w:tr>
      <w:tr>
        <w:trPr>
          <w:trHeight w:val="454" w:hRule="exact"/>
        </w:trPr>
        <w:tc>
          <w:tcPr>
            <w:tcW w:w="949"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企業全体</w:t>
            </w:r>
          </w:p>
        </w:tc>
        <w:tc>
          <w:tcPr>
            <w:tcW w:w="1908"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1484"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636" w:type="dxa"/>
            <w:vAlign w:val="center"/>
          </w:tcPr>
          <w:p>
            <w:pPr>
              <w:pStyle w:val="0"/>
              <w:jc w:val="right"/>
              <w:rPr>
                <w:rFonts w:hint="default" w:ascii="ＭＳ ゴシック" w:hAnsi="ＭＳ ゴシック" w:eastAsia="ＭＳ ゴシック"/>
                <w:color w:val="auto"/>
                <w:sz w:val="21"/>
                <w:highlight w:val="none"/>
              </w:rPr>
            </w:pPr>
          </w:p>
        </w:tc>
        <w:tc>
          <w:tcPr>
            <w:tcW w:w="1696"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1272" w:type="dxa"/>
            <w:vAlign w:val="center"/>
          </w:tcPr>
          <w:p>
            <w:pPr>
              <w:pStyle w:val="0"/>
              <w:jc w:val="righ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円</w:t>
            </w:r>
          </w:p>
        </w:tc>
        <w:tc>
          <w:tcPr>
            <w:tcW w:w="530" w:type="dxa"/>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color w:val="auto"/>
                <w:sz w:val="21"/>
                <w:highlight w:val="none"/>
              </w:rPr>
            </w:pPr>
          </w:p>
          <w:p>
            <w:pPr>
              <w:pStyle w:val="0"/>
              <w:suppressAutoHyphens w:val="1"/>
              <w:kinsoku w:val="0"/>
              <w:autoSpaceDE w:val="0"/>
              <w:autoSpaceDN w:val="0"/>
              <w:spacing w:line="366" w:lineRule="atLeast"/>
              <w:jc w:val="right"/>
              <w:rPr>
                <w:rFonts w:hint="default" w:ascii="ＭＳ ゴシック" w:hAnsi="ＭＳ ゴシック" w:eastAsia="ＭＳ ゴシック"/>
                <w:color w:val="auto"/>
                <w:sz w:val="21"/>
                <w:highlight w:val="none"/>
              </w:rPr>
            </w:pPr>
          </w:p>
        </w:tc>
        <w:tc>
          <w:tcPr>
            <w:tcW w:w="1378" w:type="dxa"/>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color w:val="auto"/>
                <w:sz w:val="21"/>
                <w:highlight w:val="none"/>
              </w:rPr>
            </w:pP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color w:val="auto"/>
          <w:sz w:val="21"/>
          <w:highlight w:val="none"/>
        </w:rPr>
      </w:pPr>
    </w:p>
    <w:p>
      <w:pPr>
        <w:pStyle w:val="0"/>
        <w:suppressAutoHyphens w:val="1"/>
        <w:kinsoku w:val="0"/>
        <w:wordWrap w:val="0"/>
        <w:autoSpaceDE w:val="0"/>
        <w:autoSpaceDN w:val="0"/>
        <w:spacing w:line="280" w:lineRule="exact"/>
        <w:ind w:left="0" w:leftChars="0" w:hanging="619" w:hangingChars="292"/>
        <w:jc w:val="left"/>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（注意事項）</w:t>
      </w:r>
    </w:p>
    <w:p>
      <w:pPr>
        <w:pStyle w:val="0"/>
        <w:spacing w:line="280" w:lineRule="exact"/>
        <w:ind w:left="212" w:hanging="212" w:hangingChars="100"/>
        <w:rPr>
          <w:rFonts w:hint="default"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z w:val="21"/>
          <w:highlight w:val="none"/>
        </w:rPr>
        <w:t>・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pPr>
        <w:pStyle w:val="0"/>
        <w:suppressAutoHyphens w:val="1"/>
        <w:kinsoku w:val="0"/>
        <w:wordWrap w:val="0"/>
        <w:autoSpaceDE w:val="0"/>
        <w:autoSpaceDN w:val="0"/>
        <w:spacing w:line="280" w:lineRule="exact"/>
        <w:ind w:left="0" w:leftChars="0" w:hanging="225" w:hangingChars="92"/>
        <w:jc w:val="left"/>
        <w:rPr>
          <w:rFonts w:hint="eastAsia" w:ascii="ＭＳ ゴシック" w:hAnsi="ＭＳ ゴシック" w:eastAsia="ＭＳ ゴシック"/>
          <w:color w:val="auto"/>
          <w:spacing w:val="16"/>
          <w:kern w:val="0"/>
          <w:sz w:val="21"/>
        </w:rPr>
      </w:pPr>
      <w:r>
        <w:rPr>
          <w:rFonts w:hint="eastAsia" w:ascii="ＭＳ ゴシック" w:hAnsi="ＭＳ ゴシック" w:eastAsia="ＭＳ ゴシック"/>
          <w:color w:val="auto"/>
          <w:spacing w:val="16"/>
          <w:kern w:val="0"/>
          <w:sz w:val="21"/>
        </w:rPr>
        <w:t>・金額は原則として円単位でご記入ください。疎明資料が千円単位で作成されている　場合に限り、千円単位での記入も可能です。</w:t>
      </w:r>
    </w:p>
    <w:p>
      <w:pPr>
        <w:pStyle w:val="0"/>
        <w:suppressAutoHyphens w:val="1"/>
        <w:kinsoku w:val="0"/>
        <w:wordWrap w:val="0"/>
        <w:autoSpaceDE w:val="0"/>
        <w:autoSpaceDN w:val="0"/>
        <w:spacing w:line="280" w:lineRule="exact"/>
        <w:ind w:left="0" w:leftChars="0" w:hanging="713" w:hangingChars="292"/>
        <w:jc w:val="left"/>
        <w:rPr>
          <w:rFonts w:hint="default" w:ascii="ＭＳ ゴシック" w:hAnsi="ＭＳ ゴシック" w:eastAsia="ＭＳ ゴシック"/>
          <w:color w:val="auto"/>
          <w:spacing w:val="16"/>
          <w:kern w:val="0"/>
          <w:sz w:val="21"/>
          <w:highlight w:val="none"/>
        </w:rPr>
      </w:pPr>
      <w:r>
        <w:rPr>
          <w:rFonts w:hint="eastAsia" w:ascii="ＭＳ ゴシック" w:hAnsi="ＭＳ ゴシック" w:eastAsia="ＭＳ ゴシック"/>
          <w:color w:val="auto"/>
          <w:spacing w:val="16"/>
          <w:kern w:val="0"/>
          <w:sz w:val="21"/>
        </w:rPr>
        <w:t>・％は小数点第２位を切捨て、小数点第１位まで記入してください。</w:t>
      </w:r>
    </w:p>
    <w:sectPr>
      <w:footerReference r:id="rId5" w:type="default"/>
      <w:pgSz w:w="11906" w:h="16838"/>
      <w:pgMar w:top="850" w:right="1168" w:bottom="1134" w:left="1168" w:header="720" w:footer="720" w:gutter="0"/>
      <w:pgNumType w:fmt="numberInDash" w:start="1"/>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4"/>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3"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5"/>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66"/>
    <w:uiPriority w:val="0"/>
    <w:qFormat/>
    <w:pPr>
      <w:pBdr>
        <w:bottom w:val="threeDEmboss" w:color="E4DFEC" w:themeColor="accent4" w:themeTint="33" w:sz="12" w:space="1"/>
      </w:pBdr>
      <w:spacing w:before="183"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67"/>
    <w:uiPriority w:val="0"/>
    <w:qFormat/>
    <w:pPr>
      <w:spacing w:before="183"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pPr>
      <w:ind w:left="840" w:leftChars="400"/>
    </w:p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customStyle="1">
    <w:name w:val="一太郎"/>
    <w:next w:val="37"/>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38">
    <w:name w:val="Block Text"/>
    <w:basedOn w:val="0"/>
    <w:next w:val="38"/>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39">
    <w:name w:val="Subtitle"/>
    <w:basedOn w:val="0"/>
    <w:next w:val="39"/>
    <w:link w:val="40"/>
    <w:uiPriority w:val="0"/>
    <w:qFormat/>
    <w:pPr>
      <w:jc w:val="center"/>
      <w:outlineLvl w:val="1"/>
    </w:pPr>
    <w:rPr>
      <w:rFonts w:asciiTheme="majorHAnsi" w:hAnsiTheme="majorHAnsi" w:eastAsiaTheme="majorEastAsia"/>
      <w:i w:val="1"/>
      <w:color w:val="B1A0C7" w:themeColor="accent4" w:themeTint="99"/>
      <w:sz w:val="32"/>
    </w:rPr>
  </w:style>
  <w:style w:type="character" w:styleId="40" w:customStyle="1">
    <w:name w:val="副題 (文字)"/>
    <w:basedOn w:val="10"/>
    <w:next w:val="40"/>
    <w:link w:val="39"/>
    <w:uiPriority w:val="0"/>
    <w:rPr>
      <w:rFonts w:asciiTheme="majorHAnsi" w:hAnsiTheme="majorHAnsi" w:eastAsiaTheme="majorEastAsia"/>
      <w:i w:val="1"/>
      <w:color w:val="B1A0C7" w:themeColor="accent4" w:themeTint="99"/>
      <w:sz w:val="32"/>
    </w:rPr>
  </w:style>
  <w:style w:type="paragraph" w:styleId="41">
    <w:name w:val="caption"/>
    <w:basedOn w:val="0"/>
    <w:next w:val="41"/>
    <w:link w:val="0"/>
    <w:uiPriority w:val="0"/>
    <w:semiHidden/>
    <w:qFormat/>
    <w:rPr>
      <w:rFonts w:eastAsiaTheme="majorEastAsia"/>
      <w:b w:val="1"/>
      <w:i w:val="1"/>
      <w:color w:val="B1A0C7" w:themeColor="accent4" w:themeTint="99"/>
    </w:rPr>
  </w:style>
  <w:style w:type="character" w:styleId="42">
    <w:name w:val="Strong"/>
    <w:basedOn w:val="10"/>
    <w:next w:val="42"/>
    <w:link w:val="0"/>
    <w:uiPriority w:val="0"/>
    <w:qFormat/>
    <w:rPr>
      <w:rFonts w:asciiTheme="minorHAnsi" w:hAnsiTheme="minorHAnsi" w:eastAsiaTheme="minorEastAsia"/>
      <w:b w:val="1"/>
      <w:color w:val="CC00CC"/>
      <w:sz w:val="21"/>
    </w:rPr>
  </w:style>
  <w:style w:type="character" w:styleId="43">
    <w:name w:val="Emphasis"/>
    <w:basedOn w:val="10"/>
    <w:next w:val="43"/>
    <w:link w:val="0"/>
    <w:uiPriority w:val="0"/>
    <w:qFormat/>
    <w:rPr>
      <w:rFonts w:asciiTheme="minorHAnsi" w:hAnsiTheme="minorHAnsi" w:eastAsiaTheme="minorEastAsia"/>
      <w:b w:val="1"/>
      <w:i w:val="1"/>
      <w:color w:val="CC00CC"/>
      <w:sz w:val="21"/>
    </w:rPr>
  </w:style>
  <w:style w:type="character" w:styleId="44">
    <w:name w:val="Intense Emphasis"/>
    <w:basedOn w:val="10"/>
    <w:next w:val="44"/>
    <w:link w:val="0"/>
    <w:uiPriority w:val="0"/>
    <w:qFormat/>
    <w:rPr>
      <w:rFonts w:asciiTheme="minorHAnsi" w:hAnsiTheme="minorHAnsi" w:eastAsiaTheme="minorEastAsia"/>
      <w:b w:val="1"/>
      <w:i w:val="1"/>
      <w:color w:val="4F81BD" w:themeColor="accent1"/>
    </w:rPr>
  </w:style>
  <w:style w:type="character" w:styleId="45">
    <w:name w:val="Subtle Emphasis"/>
    <w:basedOn w:val="10"/>
    <w:next w:val="45"/>
    <w:link w:val="0"/>
    <w:uiPriority w:val="0"/>
    <w:qFormat/>
    <w:rPr>
      <w:rFonts w:asciiTheme="minorHAnsi" w:hAnsiTheme="minorHAnsi" w:eastAsiaTheme="minorEastAsia"/>
      <w:i w:val="1"/>
      <w:color w:val="828282" w:themeColor="text1" w:themeTint="7F"/>
    </w:rPr>
  </w:style>
  <w:style w:type="paragraph" w:styleId="46">
    <w:name w:val="Body Text"/>
    <w:basedOn w:val="0"/>
    <w:next w:val="46"/>
    <w:link w:val="47"/>
    <w:uiPriority w:val="0"/>
    <w:qFormat/>
  </w:style>
  <w:style w:type="character" w:styleId="47" w:customStyle="1">
    <w:name w:val="本文 (文字)"/>
    <w:basedOn w:val="10"/>
    <w:next w:val="47"/>
    <w:link w:val="46"/>
    <w:uiPriority w:val="0"/>
    <w:rPr>
      <w:rFonts w:asciiTheme="minorHAnsi" w:hAnsiTheme="minorHAnsi" w:eastAsiaTheme="minorEastAsia"/>
    </w:rPr>
  </w:style>
  <w:style w:type="paragraph" w:styleId="48">
    <w:name w:val="Body Text Indent"/>
    <w:basedOn w:val="0"/>
    <w:next w:val="48"/>
    <w:link w:val="49"/>
    <w:uiPriority w:val="0"/>
    <w:qFormat/>
    <w:pPr>
      <w:ind w:left="840"/>
    </w:pPr>
  </w:style>
  <w:style w:type="character" w:styleId="49" w:customStyle="1">
    <w:name w:val="本文インデント (文字)"/>
    <w:basedOn w:val="10"/>
    <w:next w:val="49"/>
    <w:link w:val="48"/>
    <w:uiPriority w:val="0"/>
    <w:rPr>
      <w:rFonts w:asciiTheme="minorHAnsi" w:hAnsiTheme="minorHAnsi" w:eastAsiaTheme="minorEastAsia"/>
    </w:rPr>
  </w:style>
  <w:style w:type="paragraph" w:styleId="50">
    <w:name w:val="Body Text First Indent"/>
    <w:basedOn w:val="46"/>
    <w:next w:val="50"/>
    <w:link w:val="51"/>
    <w:uiPriority w:val="0"/>
    <w:qFormat/>
    <w:pPr>
      <w:ind w:firstLine="227"/>
    </w:pPr>
  </w:style>
  <w:style w:type="character" w:styleId="51" w:customStyle="1">
    <w:name w:val="本文字下げ (文字)"/>
    <w:basedOn w:val="47"/>
    <w:next w:val="51"/>
    <w:link w:val="50"/>
    <w:uiPriority w:val="0"/>
    <w:rPr>
      <w:rFonts w:asciiTheme="minorHAnsi" w:hAnsiTheme="minorHAnsi" w:eastAsiaTheme="minorEastAsia"/>
    </w:rPr>
  </w:style>
  <w:style w:type="paragraph" w:styleId="52">
    <w:name w:val="Body Text First Indent 2"/>
    <w:basedOn w:val="48"/>
    <w:next w:val="52"/>
    <w:link w:val="53"/>
    <w:uiPriority w:val="0"/>
    <w:qFormat/>
    <w:pPr>
      <w:ind w:left="227" w:firstLine="227"/>
    </w:pPr>
  </w:style>
  <w:style w:type="character" w:styleId="53" w:customStyle="1">
    <w:name w:val="本文字下げ 2 (文字)"/>
    <w:basedOn w:val="49"/>
    <w:next w:val="53"/>
    <w:link w:val="52"/>
    <w:uiPriority w:val="0"/>
    <w:rPr>
      <w:rFonts w:asciiTheme="minorHAnsi" w:hAnsiTheme="minorHAnsi" w:eastAsiaTheme="minorEastAsia"/>
    </w:rPr>
  </w:style>
  <w:style w:type="paragraph" w:styleId="54">
    <w:name w:val="toc 1"/>
    <w:basedOn w:val="0"/>
    <w:next w:val="54"/>
    <w:link w:val="0"/>
    <w:uiPriority w:val="0"/>
    <w:qFormat/>
    <w:rPr>
      <w:i w:val="1"/>
    </w:rPr>
  </w:style>
  <w:style w:type="paragraph" w:styleId="55">
    <w:name w:val="toc 2"/>
    <w:basedOn w:val="0"/>
    <w:next w:val="55"/>
    <w:link w:val="0"/>
    <w:uiPriority w:val="0"/>
    <w:qFormat/>
    <w:pPr>
      <w:ind w:left="100" w:leftChars="100"/>
    </w:pPr>
    <w:rPr>
      <w:i w:val="1"/>
    </w:rPr>
  </w:style>
  <w:style w:type="paragraph" w:styleId="56">
    <w:name w:val="toc 3"/>
    <w:basedOn w:val="0"/>
    <w:next w:val="56"/>
    <w:link w:val="0"/>
    <w:uiPriority w:val="0"/>
    <w:qFormat/>
    <w:pPr>
      <w:ind w:left="200" w:leftChars="200"/>
    </w:pPr>
    <w:rPr>
      <w:i w:val="1"/>
    </w:rPr>
  </w:style>
  <w:style w:type="paragraph" w:styleId="57">
    <w:name w:val="toc 4"/>
    <w:basedOn w:val="0"/>
    <w:next w:val="57"/>
    <w:link w:val="0"/>
    <w:uiPriority w:val="0"/>
    <w:qFormat/>
    <w:pPr>
      <w:ind w:left="300" w:leftChars="300"/>
    </w:pPr>
    <w:rPr>
      <w:i w:val="1"/>
    </w:rPr>
  </w:style>
  <w:style w:type="paragraph" w:styleId="58">
    <w:name w:val="TOC Heading"/>
    <w:basedOn w:val="1"/>
    <w:next w:val="0"/>
    <w:link w:val="0"/>
    <w:uiPriority w:val="0"/>
    <w:qFormat/>
    <w:pPr>
      <w:outlineLvl w:val="9"/>
    </w:pPr>
  </w:style>
  <w:style w:type="paragraph" w:styleId="59">
    <w:name w:val="Signature"/>
    <w:basedOn w:val="0"/>
    <w:next w:val="59"/>
    <w:link w:val="60"/>
    <w:uiPriority w:val="0"/>
    <w:qFormat/>
    <w:pPr>
      <w:jc w:val="right"/>
    </w:pPr>
  </w:style>
  <w:style w:type="character" w:styleId="60" w:customStyle="1">
    <w:name w:val="署名 (文字)"/>
    <w:basedOn w:val="10"/>
    <w:next w:val="60"/>
    <w:link w:val="59"/>
    <w:uiPriority w:val="0"/>
    <w:rPr>
      <w:rFonts w:asciiTheme="minorHAnsi" w:hAnsiTheme="minorHAnsi" w:eastAsiaTheme="minorEastAsia"/>
    </w:rPr>
  </w:style>
  <w:style w:type="paragraph" w:styleId="61">
    <w:name w:val="No Spacing"/>
    <w:next w:val="61"/>
    <w:link w:val="0"/>
    <w:uiPriority w:val="0"/>
    <w:qFormat/>
    <w:rPr>
      <w:kern w:val="0"/>
      <w:sz w:val="22"/>
    </w:rPr>
  </w:style>
  <w:style w:type="paragraph" w:styleId="62">
    <w:name w:val="Title"/>
    <w:basedOn w:val="0"/>
    <w:next w:val="62"/>
    <w:link w:val="63"/>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3" w:customStyle="1">
    <w:name w:val="表題 (文字)"/>
    <w:basedOn w:val="10"/>
    <w:next w:val="63"/>
    <w:link w:val="62"/>
    <w:uiPriority w:val="0"/>
    <w:rPr>
      <w:rFonts w:asciiTheme="majorHAnsi" w:hAnsiTheme="majorHAnsi" w:eastAsiaTheme="majorEastAsia"/>
      <w:b w:val="1"/>
      <w:i w:val="1"/>
      <w:color w:val="B1A0C7" w:themeColor="accent4" w:themeTint="99"/>
      <w:sz w:val="48"/>
    </w:rPr>
  </w:style>
  <w:style w:type="character" w:styleId="64" w:customStyle="1">
    <w:name w:val="見出し 1 (文字)"/>
    <w:basedOn w:val="10"/>
    <w:next w:val="64"/>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5" w:customStyle="1">
    <w:name w:val="見出し 2 (文字)"/>
    <w:basedOn w:val="10"/>
    <w:next w:val="65"/>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6" w:customStyle="1">
    <w:name w:val="見出し 3 (文字)"/>
    <w:basedOn w:val="10"/>
    <w:next w:val="66"/>
    <w:link w:val="3"/>
    <w:uiPriority w:val="0"/>
    <w:rPr>
      <w:rFonts w:asciiTheme="majorHAnsi" w:hAnsiTheme="majorHAnsi" w:eastAsiaTheme="majorEastAsia"/>
      <w:b w:val="1"/>
      <w:color w:val="60497A" w:themeColor="accent4" w:themeShade="BF"/>
      <w:sz w:val="24"/>
    </w:rPr>
  </w:style>
  <w:style w:type="character" w:styleId="67" w:customStyle="1">
    <w:name w:val="見出し 4 (文字)"/>
    <w:basedOn w:val="10"/>
    <w:next w:val="67"/>
    <w:link w:val="4"/>
    <w:uiPriority w:val="0"/>
    <w:rPr>
      <w:rFonts w:asciiTheme="minorHAnsi" w:hAnsiTheme="minorHAnsi" w:eastAsiaTheme="majorEastAsia"/>
      <w:b w:val="1"/>
      <w:color w:val="60497A" w:themeColor="accent4" w:themeShade="BF"/>
      <w:sz w:val="24"/>
    </w:rPr>
  </w:style>
  <w:style w:type="table" w:styleId="68">
    <w:name w:val="Table Grid"/>
    <w:basedOn w:val="11"/>
    <w:next w:val="6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435</TotalTime>
  <Pages>3</Pages>
  <Words>24</Words>
  <Characters>2354</Characters>
  <Application>JUST Note</Application>
  <Lines>201</Lines>
  <Paragraphs>136</Paragraphs>
  <CharactersWithSpaces>2778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lastPrinted>2024-05-16T07:14:00Z</cp:lastPrinted>
  <dcterms:created xsi:type="dcterms:W3CDTF">2024-05-13T12:09:00Z</dcterms:created>
  <dcterms:modified xsi:type="dcterms:W3CDTF">2024-06-24T01:51:20Z</dcterms:modified>
  <cp:revision>28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