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セーフティネット保証５号認定の申請について（イ－１）</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１つの指定業種に属する事業のみを営んでいる場合、又は営んでいる複数の事業が全て指定業種に属する場合</w:t>
      </w:r>
      <w:r>
        <w:rPr>
          <w:rFonts w:hint="eastAsia" w:asciiTheme="majorEastAsia" w:hAnsiTheme="majorEastAsia" w:eastAsiaTheme="majorEastAsia"/>
          <w:color w:val="auto"/>
          <w:spacing w:val="0"/>
        </w:rPr>
        <w:t>に使用するものです。</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指定業種の売上高等が認定基準を満たしていること。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申請者が、酒々井町内に本店（個人事業者の方は主たる事業所）所在地があり、１年以上継続して事業を行っている中小企業者。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最近３か月間の売上高等</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前年の同期間の売上高等</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してること。</w:t>
      </w:r>
    </w:p>
    <w:p>
      <w:pPr>
        <w:pStyle w:val="43"/>
        <w:spacing w:line="320" w:lineRule="exact"/>
        <w:ind w:left="456" w:leftChars="100" w:hanging="246" w:hangingChars="10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NO.</w:t>
            </w:r>
          </w:p>
        </w:tc>
        <w:tc>
          <w:tcPr>
            <w:tcW w:w="760"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法人</w:t>
            </w:r>
          </w:p>
        </w:tc>
        <w:tc>
          <w:tcPr>
            <w:tcW w:w="686"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個人</w:t>
            </w:r>
          </w:p>
        </w:tc>
        <w:tc>
          <w:tcPr>
            <w:tcW w:w="6983" w:type="dxa"/>
            <w:vAlign w:val="top"/>
          </w:tcPr>
          <w:p>
            <w:pPr>
              <w:pStyle w:val="43"/>
              <w:spacing w:line="320" w:lineRule="exact"/>
              <w:jc w:val="center"/>
              <w:rPr>
                <w:rFonts w:hint="eastAsia"/>
                <w:color w:val="auto"/>
                <w:highlight w:val="none"/>
              </w:rPr>
            </w:pP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１</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認定申請書</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２</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認定申請書の確認シート</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３</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４</w:t>
            </w:r>
          </w:p>
        </w:tc>
        <w:tc>
          <w:tcPr>
            <w:tcW w:w="760" w:type="dxa"/>
            <w:vAlign w:val="center"/>
          </w:tcPr>
          <w:p>
            <w:pPr>
              <w:pStyle w:val="43"/>
              <w:spacing w:line="320" w:lineRule="exact"/>
              <w:jc w:val="center"/>
              <w:rPr>
                <w:rFonts w:hint="eastAsia"/>
                <w:color w:val="auto"/>
                <w:highlight w:val="none"/>
              </w:rPr>
            </w:pP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確定申告書の写し（最新のもの１期分）</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５</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最近３か月間の売上高等が確認できる書類（月次試算表、売上帳簿など）</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６</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sz w:val="24"/>
                <w:highlight w:val="none"/>
              </w:rPr>
            </w:pPr>
            <w:r>
              <w:rPr>
                <w:rFonts w:hint="eastAsia" w:asciiTheme="majorEastAsia" w:hAnsiTheme="majorEastAsia" w:eastAsiaTheme="majorEastAsia"/>
                <w:color w:val="auto"/>
                <w:spacing w:val="6"/>
                <w:sz w:val="22"/>
                <w:highlight w:val="none"/>
              </w:rPr>
              <w:t>NO.</w:t>
            </w:r>
            <w:r>
              <w:rPr>
                <w:rFonts w:hint="eastAsia" w:asciiTheme="majorEastAsia" w:hAnsiTheme="majorEastAsia" w:eastAsiaTheme="majorEastAsia"/>
                <w:color w:val="auto"/>
                <w:spacing w:val="6"/>
                <w:sz w:val="22"/>
                <w:highlight w:val="none"/>
              </w:rPr>
              <w:t>５に対応する前年同期間の月別売上高等を確認できる書類</w:t>
            </w:r>
            <w:r>
              <w:rPr>
                <w:rFonts w:hint="eastAsia" w:asciiTheme="majorEastAsia" w:hAnsiTheme="majorEastAsia" w:eastAsiaTheme="majorEastAsia"/>
                <w:color w:val="auto"/>
                <w:spacing w:val="6"/>
                <w:sz w:val="22"/>
                <w:highlight w:val="none"/>
              </w:rPr>
              <w:t xml:space="preserve"> </w:t>
            </w:r>
            <w:r>
              <w:rPr>
                <w:rFonts w:hint="eastAsia" w:asciiTheme="majorEastAsia" w:hAnsiTheme="majorEastAsia" w:eastAsiaTheme="majorEastAsia"/>
                <w:color w:val="auto"/>
                <w:spacing w:val="6"/>
                <w:sz w:val="22"/>
                <w:highlight w:val="none"/>
              </w:rPr>
              <w:t>（月次試算表、売上帳簿など）</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７</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委任状（金融機関等による代理申請の場合・任意書式）</w:t>
            </w:r>
          </w:p>
        </w:tc>
      </w:tr>
      <w:tr>
        <w:trPr>
          <w:trHeight w:val="477" w:hRule="atLeast"/>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８</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事業実態が酒々井町にあることが確認できる書類</w:t>
            </w:r>
            <w:r>
              <w:rPr>
                <w:rFonts w:hint="eastAsia" w:asciiTheme="majorEastAsia" w:hAnsiTheme="majorEastAsia" w:eastAsiaTheme="majorEastAsia"/>
                <w:color w:val="auto"/>
                <w:spacing w:val="6"/>
                <w:highlight w:val="none"/>
              </w:rPr>
              <w:t>(</w:t>
            </w:r>
            <w:r>
              <w:rPr>
                <w:rFonts w:hint="eastAsia" w:asciiTheme="majorEastAsia" w:hAnsiTheme="majorEastAsia" w:eastAsiaTheme="majorEastAsia"/>
                <w:color w:val="auto"/>
                <w:spacing w:val="6"/>
                <w:highlight w:val="none"/>
              </w:rPr>
              <w:t>謄本等で町内にあることが確認できない場合</w:t>
            </w:r>
            <w:r>
              <w:rPr>
                <w:rFonts w:hint="eastAsia" w:asciiTheme="majorEastAsia" w:hAnsiTheme="majorEastAsia" w:eastAsiaTheme="majorEastAsia"/>
                <w:color w:val="auto"/>
                <w:spacing w:val="6"/>
                <w:highlight w:val="none"/>
              </w:rPr>
              <w:t xml:space="preserve">) </w:t>
            </w:r>
          </w:p>
        </w:tc>
      </w:tr>
    </w:tbl>
    <w:p>
      <w:pPr>
        <w:pStyle w:val="43"/>
        <w:spacing w:line="320" w:lineRule="exact"/>
        <w:ind w:firstLine="442" w:firstLineChars="200"/>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6"/>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6"/>
        </w:rPr>
        <w:t>・　認定を受けた後、認定書の有効期間内に金融機関又は信用保証協会に対して、経営安定保証関連の申し込みを行うことが必要です。</w:t>
      </w:r>
    </w:p>
    <w:p>
      <w:pPr>
        <w:pStyle w:val="43"/>
        <w:numPr>
          <w:numId w:val="0"/>
        </w:numPr>
        <w:spacing w:line="320" w:lineRule="exact"/>
        <w:ind w:left="652" w:leftChars="0" w:firstLine="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pacing w:line="240" w:lineRule="auto"/>
        <w:jc w:val="center"/>
        <w:rPr>
          <w:rFonts w:hint="default" w:ascii="ＭＳ ゴシック" w:hAnsi="ＭＳ ゴシック" w:eastAsia="ＭＳ ゴシック"/>
          <w:color w:val="auto"/>
          <w:spacing w:val="16"/>
          <w:kern w:val="0"/>
        </w:rPr>
      </w:pPr>
      <w:r>
        <w:rPr>
          <w:rFonts w:hint="eastAsia"/>
          <w:color w:val="auto"/>
        </w:rPr>
        <w:br w:type="page"/>
      </w:r>
    </w:p>
    <w:tbl>
      <w:tblPr>
        <w:tblStyle w:val="11"/>
        <w:tblpPr w:leftFromText="0" w:rightFromText="0" w:topFromText="0" w:bottomFromText="0" w:vertAnchor="text" w:horzAnchor="margin" w:tblpX="23" w:tblpY="122"/>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color w:val="auto"/>
              </w:rPr>
            </w:pPr>
            <w:r>
              <w:rPr>
                <w:rFonts w:hint="eastAsia" w:asciiTheme="majorEastAsia" w:hAnsiTheme="majorEastAsia" w:eastAsiaTheme="majorEastAsia"/>
                <w:color w:val="auto"/>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r>
        <w:trPr>
          <w:trHeight w:val="316"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様式第５号－（イ）－１</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8756"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中小企業信用保険法第２条第５項第５号の規定による認定申請書（イ－１）</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10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w:t>
            </w:r>
            <w:r>
              <w:rPr>
                <w:rFonts w:hint="eastAsia" w:ascii="ＭＳ ゴシック" w:hAnsi="ＭＳ ゴシック" w:eastAsia="ＭＳ ゴシック"/>
                <w:color w:val="auto"/>
                <w:kern w:val="0"/>
              </w:rPr>
              <w:t>表に記載する業を営んでいるが、下記のとおり、</w:t>
            </w:r>
            <w:r>
              <w:rPr>
                <w:rFonts w:hint="eastAsia" w:ascii="ＭＳ ゴシック" w:hAnsi="ＭＳ ゴシック" w:eastAsia="ＭＳ ゴシック"/>
                <w:color w:val="auto"/>
                <w:kern w:val="0"/>
                <w:u w:val="single" w:color="auto"/>
              </w:rPr>
              <w:t>　　　　　　　　（注２）</w:t>
            </w:r>
            <w:r>
              <w:rPr>
                <w:rFonts w:hint="eastAsia" w:ascii="ＭＳ ゴシック" w:hAnsi="ＭＳ ゴシック" w:eastAsia="ＭＳ ゴシック"/>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jc w:val="lef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　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売上高等</w:t>
            </w:r>
          </w:p>
          <w:p>
            <w:pPr>
              <w:pStyle w:val="0"/>
              <w:suppressAutoHyphens w:val="1"/>
              <w:kinsoku w:val="0"/>
              <w:wordWrap w:val="0"/>
              <w:overflowPunct w:val="0"/>
              <w:autoSpaceDE w:val="0"/>
              <w:autoSpaceDN w:val="0"/>
              <w:adjustRightInd w:val="0"/>
              <w:spacing w:line="480" w:lineRule="auto"/>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Ａ：申込時点における最近３か月間の売上高等（実績）　</w:t>
            </w:r>
            <w:r>
              <w:rPr>
                <w:rFonts w:hint="eastAsia" w:asciiTheme="majorEastAsia" w:hAnsiTheme="majorEastAsia" w:eastAsiaTheme="majorEastAsia"/>
                <w:color w:val="auto"/>
                <w:kern w:val="0"/>
                <w:u w:val="single" w:color="000000"/>
              </w:rPr>
              <w:t>　　　　　　　　　　　円</w:t>
            </w:r>
            <w:r>
              <w:rPr>
                <w:rFonts w:hint="eastAsia" w:asciiTheme="majorEastAsia" w:hAnsiTheme="majorEastAsia" w:eastAsiaTheme="majorEastAsia"/>
                <w:color w:val="auto"/>
                <w:kern w:val="0"/>
                <w:u w:val="none" w:color="000000"/>
              </w:rPr>
              <w:t>（注３）</w:t>
            </w:r>
          </w:p>
          <w:p>
            <w:pPr>
              <w:pStyle w:val="0"/>
              <w:suppressAutoHyphens w:val="1"/>
              <w:kinsoku w:val="0"/>
              <w:wordWrap w:val="0"/>
              <w:overflowPunct w:val="0"/>
              <w:autoSpaceDE w:val="0"/>
              <w:autoSpaceDN w:val="0"/>
              <w:adjustRightInd w:val="0"/>
              <w:spacing w:line="480" w:lineRule="auto"/>
              <w:ind w:firstLine="525" w:firstLineChars="2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Ｂ：Ａの期間に対応する前年同期間の売上高等（実績）　</w:t>
            </w:r>
            <w:r>
              <w:rPr>
                <w:rFonts w:hint="eastAsia" w:asciiTheme="majorEastAsia" w:hAnsiTheme="majorEastAsia" w:eastAsiaTheme="majorEastAsia"/>
                <w:color w:val="auto"/>
                <w:kern w:val="0"/>
                <w:u w:val="single" w:color="000000"/>
              </w:rPr>
              <w:t>　　　　　　　　　　　円</w:t>
            </w:r>
            <w:r>
              <w:rPr>
                <w:rFonts w:hint="eastAsia" w:asciiTheme="majorEastAsia" w:hAnsiTheme="majorEastAsia" w:eastAsiaTheme="majorEastAsia"/>
                <w:color w:val="auto"/>
                <w:kern w:val="0"/>
                <w:u w:val="none" w:color="000000"/>
              </w:rPr>
              <w:t>（注３）</w:t>
            </w:r>
          </w:p>
          <w:p>
            <w:pPr>
              <w:pStyle w:val="0"/>
              <w:suppressAutoHyphens w:val="1"/>
              <w:kinsoku w:val="0"/>
              <w:wordWrap w:val="0"/>
              <w:overflowPunct w:val="0"/>
              <w:autoSpaceDE w:val="0"/>
              <w:autoSpaceDN w:val="0"/>
              <w:adjustRightInd w:val="0"/>
              <w:spacing w:line="480" w:lineRule="auto"/>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Ｂ－Ａ</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減少率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％（実績）</w:t>
            </w:r>
          </w:p>
        </w:tc>
      </w:tr>
    </w:tbl>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（注１）本様式は、１つの指定業種に属する事業のみを営んでいる場合、又は営んでいる複数の事業が　</w:t>
      </w:r>
    </w:p>
    <w:p>
      <w:pPr>
        <w:pStyle w:val="0"/>
        <w:spacing w:line="240" w:lineRule="exact"/>
        <w:ind w:firstLine="840" w:firstLineChars="400"/>
        <w:rPr>
          <w:rFonts w:hint="eastAsia" w:asciiTheme="majorEastAsia" w:hAnsiTheme="majorEastAsia" w:eastAsiaTheme="majorEastAsia"/>
          <w:color w:val="auto"/>
        </w:rPr>
      </w:pPr>
      <w:r>
        <w:rPr>
          <w:rFonts w:hint="eastAsia" w:asciiTheme="majorEastAsia" w:hAnsiTheme="majorEastAsia" w:eastAsiaTheme="majorEastAsia"/>
          <w:color w:val="auto"/>
        </w:rPr>
        <w:t>全て指定業種に属する場合に使用する。</w:t>
      </w:r>
    </w:p>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（注３）企業全体の売上高等を記載。</w:t>
      </w:r>
    </w:p>
    <w:p>
      <w:pPr>
        <w:pStyle w:val="0"/>
        <w:rPr>
          <w:rFonts w:hint="default" w:asciiTheme="majorEastAsia" w:hAnsiTheme="majorEastAsia" w:eastAsiaTheme="majorEastAsia"/>
          <w:color w:val="auto"/>
        </w:rPr>
      </w:pP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wordWrap w:val="0"/>
        <w:ind w:left="420" w:leftChars="100" w:hanging="210" w:hangingChars="1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②　酒々井町長から認定を受けた後、本認定の有効期間内に金融機関又は信用保証協会に対して、　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16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color w:val="auto"/>
        </w:rPr>
        <w:br w:type="page"/>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様式第</w:t>
      </w:r>
      <w:r>
        <w:rPr>
          <w:rFonts w:hint="eastAsia" w:ascii="ＭＳ ゴシック" w:hAnsi="ＭＳ ゴシック" w:eastAsia="ＭＳ ゴシック"/>
          <w:color w:val="auto"/>
          <w:kern w:val="0"/>
          <w:sz w:val="24"/>
        </w:rPr>
        <w:t>５号－イ－１専用</w:t>
      </w:r>
    </w:p>
    <w:p>
      <w:pPr>
        <w:pStyle w:val="0"/>
        <w:jc w:val="left"/>
        <w:rPr>
          <w:rFonts w:hint="eastAsia" w:ascii="ＭＳ ゴシック" w:hAnsi="ＭＳ ゴシック" w:eastAsia="ＭＳ ゴシック"/>
          <w:color w:val="auto"/>
          <w:sz w:val="24"/>
        </w:rPr>
      </w:pPr>
    </w:p>
    <w:p>
      <w:pPr>
        <w:pStyle w:val="0"/>
        <w:spacing w:line="480" w:lineRule="exact"/>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spacing w:line="480" w:lineRule="exact"/>
        <w:jc w:val="left"/>
        <w:rPr>
          <w:rFonts w:hint="eastAsia" w:ascii="ＭＳ ゴシック" w:hAnsi="ＭＳ ゴシック" w:eastAsia="ＭＳ ゴシック"/>
          <w:color w:val="auto"/>
          <w:sz w:val="24"/>
        </w:rPr>
      </w:pPr>
    </w:p>
    <w:p>
      <w:pPr>
        <w:pStyle w:val="0"/>
        <w:spacing w:line="480" w:lineRule="exact"/>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widowControl w:val="1"/>
        <w:spacing w:line="240" w:lineRule="auto"/>
        <w:jc w:val="left"/>
        <w:rPr>
          <w:rFonts w:hint="eastAsia" w:ascii="ＭＳ ゴシック" w:hAnsi="ＭＳ ゴシック" w:eastAsia="ＭＳ ゴシック"/>
          <w:b w:val="1"/>
          <w:color w:val="auto"/>
          <w:sz w:val="24"/>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１．指定業種に属する事業の売上高等・減少率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（１）指定業種に属する事業の売上高等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45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左記に対応する前年同期間の売上高等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【Ａ】</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【Ｂ】</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（２）指定業種に属する事業の売上高等の</w:t>
      </w:r>
      <w:r>
        <w:rPr>
          <w:rFonts w:hint="eastAsia" w:ascii="ＭＳ ゴシック" w:hAnsi="ＭＳ ゴシック" w:eastAsia="ＭＳ ゴシック"/>
          <w:color w:val="auto"/>
          <w:spacing w:val="16"/>
          <w:kern w:val="0"/>
          <w:sz w:val="24"/>
        </w:rPr>
        <w:t>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2690495</wp:posOffset>
                </wp:positionH>
                <wp:positionV relativeFrom="paragraph">
                  <wp:posOffset>130810</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0.3pt;mso-position-vertical-relative:text;mso-position-horizontal-relative:text;v-text-anchor:middle;position:absolute;height:25.95pt;mso-wrap-distance-top:0pt;width:65.34pt;mso-wrap-distance-left:9pt;margin-left:211.85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kern w:val="0"/>
          <w:sz w:val="24"/>
        </w:rPr>
        <w:t>（Ｂ－Ａ）／Ｂ</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sectPr>
      <w:pgSz w:w="11906" w:h="16838"/>
      <w:pgMar w:top="850"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efaultTableStyle w:val="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シンプル 1）"/>
    <w:basedOn w:val="11"/>
    <w:next w:val="4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3</Pages>
  <Words>5</Words>
  <Characters>1667</Characters>
  <Application>JUST Note</Application>
  <Lines>188</Lines>
  <Paragraphs>116</Paragraphs>
  <CharactersWithSpaces>1994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2024-06-10T06:50:00Z</dcterms:created>
  <dcterms:modified xsi:type="dcterms:W3CDTF">2024-06-24T01:32:47Z</dcterms:modified>
  <cp:revision>1</cp:revision>
</cp:coreProperties>
</file>